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C9" w:rsidRPr="004326E9" w:rsidRDefault="00A05FC9" w:rsidP="004326E9">
      <w:pPr>
        <w:jc w:val="center"/>
        <w:rPr>
          <w:rFonts w:ascii="微软雅黑" w:eastAsia="微软雅黑" w:hAnsi="微软雅黑" w:hint="eastAsia"/>
          <w:sz w:val="36"/>
          <w:szCs w:val="36"/>
        </w:rPr>
      </w:pPr>
      <w:r w:rsidRPr="004326E9">
        <w:rPr>
          <w:rFonts w:ascii="微软雅黑" w:eastAsia="微软雅黑" w:hAnsi="微软雅黑" w:hint="eastAsia"/>
          <w:sz w:val="36"/>
          <w:szCs w:val="36"/>
        </w:rPr>
        <w:t>上海市经济信息化委关于组织申报2020年上海市产</w:t>
      </w:r>
      <w:bookmarkStart w:id="0" w:name="_GoBack"/>
      <w:r w:rsidRPr="004326E9">
        <w:rPr>
          <w:rFonts w:ascii="微软雅黑" w:eastAsia="微软雅黑" w:hAnsi="微软雅黑" w:hint="eastAsia"/>
          <w:sz w:val="36"/>
          <w:szCs w:val="36"/>
        </w:rPr>
        <w:t>业转型升级发展专项资金项目（技术改造）的通知</w:t>
      </w:r>
      <w:bookmarkEnd w:id="0"/>
    </w:p>
    <w:p w:rsidR="00A05FC9" w:rsidRPr="00A05FC9" w:rsidRDefault="00A05FC9" w:rsidP="004326E9">
      <w:pPr>
        <w:jc w:val="center"/>
        <w:rPr>
          <w:rFonts w:ascii="仿宋_GB2312" w:eastAsia="仿宋_GB2312" w:hint="eastAsia"/>
          <w:sz w:val="30"/>
          <w:szCs w:val="30"/>
        </w:rPr>
      </w:pPr>
      <w:proofErr w:type="gramStart"/>
      <w:r w:rsidRPr="004326E9">
        <w:rPr>
          <w:rFonts w:ascii="仿宋_GB2312" w:eastAsia="仿宋_GB2312" w:hint="eastAsia"/>
          <w:sz w:val="30"/>
          <w:szCs w:val="30"/>
        </w:rPr>
        <w:t>沪经信</w:t>
      </w:r>
      <w:proofErr w:type="gramEnd"/>
      <w:r w:rsidRPr="004326E9">
        <w:rPr>
          <w:rFonts w:ascii="仿宋_GB2312" w:eastAsia="仿宋_GB2312" w:hint="eastAsia"/>
          <w:sz w:val="30"/>
          <w:szCs w:val="30"/>
        </w:rPr>
        <w:t>投〔2020〕526号</w:t>
      </w:r>
    </w:p>
    <w:p w:rsidR="004326E9" w:rsidRDefault="004326E9" w:rsidP="00A05FC9">
      <w:pPr>
        <w:rPr>
          <w:rFonts w:ascii="仿宋_GB2312" w:eastAsia="仿宋_GB2312"/>
          <w:sz w:val="30"/>
          <w:szCs w:val="30"/>
        </w:rPr>
      </w:pP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有关单位：</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为加快本市产业经济转型升级，按照《上海市产业转型升级发展专项资金管理办法》（</w:t>
      </w:r>
      <w:proofErr w:type="gramStart"/>
      <w:r w:rsidRPr="00A05FC9">
        <w:rPr>
          <w:rFonts w:ascii="仿宋_GB2312" w:eastAsia="仿宋_GB2312" w:hint="eastAsia"/>
          <w:sz w:val="30"/>
          <w:szCs w:val="30"/>
        </w:rPr>
        <w:t>沪经信规</w:t>
      </w:r>
      <w:proofErr w:type="gramEnd"/>
      <w:r w:rsidRPr="00A05FC9">
        <w:rPr>
          <w:rFonts w:ascii="仿宋_GB2312" w:eastAsia="仿宋_GB2312" w:hint="eastAsia"/>
          <w:sz w:val="30"/>
          <w:szCs w:val="30"/>
        </w:rPr>
        <w:t>〔2015〕101号）、《上海市技术改造专项支持实施细则》（</w:t>
      </w:r>
      <w:proofErr w:type="gramStart"/>
      <w:r w:rsidRPr="00A05FC9">
        <w:rPr>
          <w:rFonts w:ascii="仿宋_GB2312" w:eastAsia="仿宋_GB2312" w:hint="eastAsia"/>
          <w:sz w:val="30"/>
          <w:szCs w:val="30"/>
        </w:rPr>
        <w:t>沪经信规范</w:t>
      </w:r>
      <w:proofErr w:type="gramEnd"/>
      <w:r w:rsidRPr="00A05FC9">
        <w:rPr>
          <w:rFonts w:ascii="仿宋_GB2312" w:eastAsia="仿宋_GB2312" w:hint="eastAsia"/>
          <w:sz w:val="30"/>
          <w:szCs w:val="30"/>
        </w:rPr>
        <w:t>〔2018〕1号）的要求，现将2020年上海市产业转型升级发展专项资金项目（技术改造）申报有关事项通知如下：</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一、专项资金支持方式和标准</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技术改造是指企业采用新技术、新工艺、新设备、新材料对现有设施、工艺条件及生产服务等进行改造提升，淘汰落后产能，实现内涵式发展的投资活动。</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专项资金采取无偿资助的方式安排使用。专项支持资金支持额度最高不超过项目</w:t>
      </w:r>
      <w:proofErr w:type="gramStart"/>
      <w:r w:rsidRPr="00A05FC9">
        <w:rPr>
          <w:rFonts w:ascii="仿宋_GB2312" w:eastAsia="仿宋_GB2312" w:hint="eastAsia"/>
          <w:sz w:val="30"/>
          <w:szCs w:val="30"/>
        </w:rPr>
        <w:t>核定总</w:t>
      </w:r>
      <w:proofErr w:type="gramEnd"/>
      <w:r w:rsidRPr="00A05FC9">
        <w:rPr>
          <w:rFonts w:ascii="仿宋_GB2312" w:eastAsia="仿宋_GB2312" w:hint="eastAsia"/>
          <w:sz w:val="30"/>
          <w:szCs w:val="30"/>
        </w:rPr>
        <w:t>投入的10%。</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项目分为重点项目与一般项目，其中重点项目采取一次核定支持金额、分次拨付的方式，项目计划下达后，拨付专项支持资金总额的50%，项目验收合格后，再行拨付尾款；一般项目采取一次核定支持金额、验收后一次性拨付专项支持资金的方式。</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二、项目申报条件</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（一）项目申报单位应当是在本市注册登记、具有独立承</w:t>
      </w:r>
      <w:r w:rsidRPr="00A05FC9">
        <w:rPr>
          <w:rFonts w:ascii="仿宋_GB2312" w:eastAsia="仿宋_GB2312" w:hint="eastAsia"/>
          <w:sz w:val="30"/>
          <w:szCs w:val="30"/>
        </w:rPr>
        <w:lastRenderedPageBreak/>
        <w:t>担民事责任能力的企业；</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（二）企业财务管理制度健全；</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（三）企业会计信用和纳税信用良好；</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四）项目符合《2020年上海市重点技术改造支持目录》（见附件1）,且未纳入《产业结构调整指导目录（2011年本）（修正）》和《上海市产业结构调整负面清单》中“限制类”和“淘汰类”目录。项目方案合理可行，具有较好的社会和经济效益；</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五）项目总投入2000万元以上,其中重点技术改造项目总投入1亿元以上。项目总投入包括用于项目的建筑工程、安装工程、设备器具购置等固定资产投资以及软件、专利、试验、检测、智能化集成、研发外包服务等其他投入，其中固定资产投资占项目总投入的比例不低于60%；</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（六）项目固定资产投资备案（核准）、环保等方面的前期建设手续已经落实,资金到位，已经开工建设。</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三、申报审核程序</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（一）组织方式。2020年技术改造专项申报起始时间为2020年7月23日至8月16日，8月16日申报截止日期后，2020年将不再受理新项目申报。</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（二）申报方式。项目申报采取无纸化网上申报的方式，申报需</w:t>
      </w:r>
      <w:proofErr w:type="gramStart"/>
      <w:r w:rsidRPr="00A05FC9">
        <w:rPr>
          <w:rFonts w:ascii="仿宋_GB2312" w:eastAsia="仿宋_GB2312" w:hint="eastAsia"/>
          <w:sz w:val="30"/>
          <w:szCs w:val="30"/>
        </w:rPr>
        <w:t>登录市</w:t>
      </w:r>
      <w:proofErr w:type="gramEnd"/>
      <w:r w:rsidRPr="00A05FC9">
        <w:rPr>
          <w:rFonts w:ascii="仿宋_GB2312" w:eastAsia="仿宋_GB2312" w:hint="eastAsia"/>
          <w:sz w:val="30"/>
          <w:szCs w:val="30"/>
        </w:rPr>
        <w:t>经济信息化委专项资金项目管理与服务平台（http://zxzj.sheitc.sh.gov.cn）。申报平台将关联法人一证</w:t>
      </w:r>
      <w:r w:rsidRPr="00A05FC9">
        <w:rPr>
          <w:rFonts w:ascii="仿宋_GB2312" w:eastAsia="仿宋_GB2312" w:hint="eastAsia"/>
          <w:sz w:val="30"/>
          <w:szCs w:val="30"/>
        </w:rPr>
        <w:lastRenderedPageBreak/>
        <w:t>通，并要求提交的申请报告及附件加盖法人一证通中的电子签章。如企业无法人一证通或法人一证</w:t>
      </w:r>
      <w:proofErr w:type="gramStart"/>
      <w:r w:rsidRPr="00A05FC9">
        <w:rPr>
          <w:rFonts w:ascii="仿宋_GB2312" w:eastAsia="仿宋_GB2312" w:hint="eastAsia"/>
          <w:sz w:val="30"/>
          <w:szCs w:val="30"/>
        </w:rPr>
        <w:t>通内无电子</w:t>
      </w:r>
      <w:proofErr w:type="gramEnd"/>
      <w:r w:rsidRPr="00A05FC9">
        <w:rPr>
          <w:rFonts w:ascii="仿宋_GB2312" w:eastAsia="仿宋_GB2312" w:hint="eastAsia"/>
          <w:sz w:val="30"/>
          <w:szCs w:val="30"/>
        </w:rPr>
        <w:t>签章的，可前往服务网点办理（法人一证通客服热线：021-962600，网址：https://www.962600.com）。</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三）申报初审。项目申报材料须符合相关规定（资金申请报告参考格式见附件3），申报完成后，由主管部门（各区科经委、经委（商务委）、中央在沪企业、市属集团公司（见附件2）对申报材料在5个工作日内进行初审，对项目管理平台申报材料的一致性、齐全</w:t>
      </w:r>
      <w:proofErr w:type="gramStart"/>
      <w:r w:rsidRPr="00A05FC9">
        <w:rPr>
          <w:rFonts w:ascii="仿宋_GB2312" w:eastAsia="仿宋_GB2312" w:hint="eastAsia"/>
          <w:sz w:val="30"/>
          <w:szCs w:val="30"/>
        </w:rPr>
        <w:t>性严格</w:t>
      </w:r>
      <w:proofErr w:type="gramEnd"/>
      <w:r w:rsidRPr="00A05FC9">
        <w:rPr>
          <w:rFonts w:ascii="仿宋_GB2312" w:eastAsia="仿宋_GB2312" w:hint="eastAsia"/>
          <w:sz w:val="30"/>
          <w:szCs w:val="30"/>
        </w:rPr>
        <w:t>把关，不符合要求或缺少内容的，予以退回或要求项目申报单位在限定时间内补齐。项目初审通过后，由各主管部门正式行文报送我委。</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（五）评审方式。项目经初审后，由我委会同市相关部门按照“公开、公平、公正”的原则，组织网上专家评审和项目投入情况评估，根据评审情况编制</w:t>
      </w:r>
      <w:proofErr w:type="gramStart"/>
      <w:r w:rsidRPr="00A05FC9">
        <w:rPr>
          <w:rFonts w:ascii="仿宋_GB2312" w:eastAsia="仿宋_GB2312" w:hint="eastAsia"/>
          <w:sz w:val="30"/>
          <w:szCs w:val="30"/>
        </w:rPr>
        <w:t>拟支持</w:t>
      </w:r>
      <w:proofErr w:type="gramEnd"/>
      <w:r w:rsidRPr="00A05FC9">
        <w:rPr>
          <w:rFonts w:ascii="仿宋_GB2312" w:eastAsia="仿宋_GB2312" w:hint="eastAsia"/>
          <w:sz w:val="30"/>
          <w:szCs w:val="30"/>
        </w:rPr>
        <w:t>项目计划。</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四、监督管理</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我委从未委托任何机构或个人代理上海市产业转型升级发展专项资金申报事宜，</w:t>
      </w:r>
      <w:proofErr w:type="gramStart"/>
      <w:r w:rsidRPr="00A05FC9">
        <w:rPr>
          <w:rFonts w:ascii="仿宋_GB2312" w:eastAsia="仿宋_GB2312" w:hint="eastAsia"/>
          <w:sz w:val="30"/>
          <w:szCs w:val="30"/>
        </w:rPr>
        <w:t>请项目</w:t>
      </w:r>
      <w:proofErr w:type="gramEnd"/>
      <w:r w:rsidRPr="00A05FC9">
        <w:rPr>
          <w:rFonts w:ascii="仿宋_GB2312" w:eastAsia="仿宋_GB2312" w:hint="eastAsia"/>
          <w:sz w:val="30"/>
          <w:szCs w:val="30"/>
        </w:rPr>
        <w:t>单位自主申报项目。我委将严格按照有关标准和程序受理申请，不收取任何费用。如有任何机构或个人假借我委或我委工作人员名义向企业收取费用的，请知情者向我委举报。</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五、联系方式</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1、项目业务咨询:</w:t>
      </w:r>
      <w:proofErr w:type="gramStart"/>
      <w:r w:rsidRPr="00A05FC9">
        <w:rPr>
          <w:rFonts w:ascii="仿宋_GB2312" w:eastAsia="仿宋_GB2312" w:hint="eastAsia"/>
          <w:sz w:val="30"/>
          <w:szCs w:val="30"/>
        </w:rPr>
        <w:t>许振华</w:t>
      </w:r>
      <w:proofErr w:type="gramEnd"/>
      <w:r w:rsidRPr="00A05FC9">
        <w:rPr>
          <w:rFonts w:ascii="仿宋_GB2312" w:eastAsia="仿宋_GB2312" w:hint="eastAsia"/>
          <w:sz w:val="30"/>
          <w:szCs w:val="30"/>
        </w:rPr>
        <w:t>、王雷</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lastRenderedPageBreak/>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联系电话：23112710、23119429</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2、网上申报平台技术支持</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r w:rsidRPr="00A05FC9">
        <w:rPr>
          <w:rFonts w:ascii="仿宋_GB2312" w:eastAsia="仿宋_GB2312" w:hint="eastAsia"/>
          <w:sz w:val="30"/>
          <w:szCs w:val="30"/>
        </w:rPr>
        <w:t>联系电话：60801472</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上海市经济和信息化委员会</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                                </w:t>
      </w:r>
      <w:r w:rsidRPr="00A05FC9">
        <w:rPr>
          <w:rFonts w:ascii="仿宋_GB2312" w:eastAsia="仿宋_GB2312" w:hint="eastAsia"/>
          <w:sz w:val="30"/>
          <w:szCs w:val="30"/>
        </w:rPr>
        <w:t xml:space="preserve"> 2020年7月23日</w:t>
      </w:r>
      <w:r w:rsidRPr="00A05FC9">
        <w:rPr>
          <w:rFonts w:ascii="仿宋_GB2312" w:eastAsia="仿宋_GB2312" w:hint="eastAsia"/>
          <w:sz w:val="30"/>
          <w:szCs w:val="30"/>
        </w:rPr>
        <w:t> </w:t>
      </w:r>
      <w:r w:rsidRPr="00A05FC9">
        <w:rPr>
          <w:rFonts w:ascii="仿宋_GB2312" w:eastAsia="仿宋_GB2312" w:hint="eastAsia"/>
          <w:sz w:val="30"/>
          <w:szCs w:val="30"/>
        </w:rPr>
        <w:t xml:space="preserve"> </w:t>
      </w:r>
      <w:r w:rsidRPr="00A05FC9">
        <w:rPr>
          <w:rFonts w:ascii="仿宋_GB2312" w:eastAsia="仿宋_GB2312" w:hint="eastAsia"/>
          <w:sz w:val="30"/>
          <w:szCs w:val="30"/>
        </w:rPr>
        <w:t> </w:t>
      </w:r>
    </w:p>
    <w:p w:rsidR="00A05FC9" w:rsidRPr="00A05FC9" w:rsidRDefault="00A05FC9" w:rsidP="00A05FC9">
      <w:pPr>
        <w:rPr>
          <w:rFonts w:ascii="仿宋_GB2312" w:eastAsia="仿宋_GB2312" w:hint="eastAsia"/>
          <w:sz w:val="30"/>
          <w:szCs w:val="30"/>
        </w:rPr>
      </w:pP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附件：【</w:t>
      </w:r>
      <w:hyperlink r:id="rId5" w:history="1">
        <w:r w:rsidRPr="00A05FC9">
          <w:rPr>
            <w:rStyle w:val="a5"/>
            <w:rFonts w:ascii="仿宋_GB2312" w:eastAsia="仿宋_GB2312" w:hint="eastAsia"/>
            <w:sz w:val="30"/>
            <w:szCs w:val="30"/>
          </w:rPr>
          <w:t>1.2020年上海市重点技术改造支持目录.docx</w:t>
        </w:r>
      </w:hyperlink>
      <w:r w:rsidRPr="00A05FC9">
        <w:rPr>
          <w:rFonts w:ascii="仿宋_GB2312" w:eastAsia="仿宋_GB2312" w:hint="eastAsia"/>
          <w:sz w:val="30"/>
          <w:szCs w:val="30"/>
        </w:rPr>
        <w:t>】</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附件：【</w:t>
      </w:r>
      <w:hyperlink r:id="rId6" w:history="1">
        <w:r w:rsidRPr="00A05FC9">
          <w:rPr>
            <w:rStyle w:val="a5"/>
            <w:rFonts w:ascii="仿宋_GB2312" w:eastAsia="仿宋_GB2312" w:hint="eastAsia"/>
            <w:sz w:val="30"/>
            <w:szCs w:val="30"/>
          </w:rPr>
          <w:t>2.各区科经委、经委（商务委）联系方式.docx</w:t>
        </w:r>
      </w:hyperlink>
      <w:r w:rsidRPr="00A05FC9">
        <w:rPr>
          <w:rFonts w:ascii="仿宋_GB2312" w:eastAsia="仿宋_GB2312" w:hint="eastAsia"/>
          <w:sz w:val="30"/>
          <w:szCs w:val="30"/>
        </w:rPr>
        <w:t>】</w:t>
      </w:r>
    </w:p>
    <w:p w:rsidR="00A05FC9" w:rsidRPr="00A05FC9" w:rsidRDefault="00A05FC9" w:rsidP="00A05FC9">
      <w:pPr>
        <w:rPr>
          <w:rFonts w:ascii="仿宋_GB2312" w:eastAsia="仿宋_GB2312" w:hint="eastAsia"/>
          <w:sz w:val="30"/>
          <w:szCs w:val="30"/>
        </w:rPr>
      </w:pPr>
      <w:r w:rsidRPr="00A05FC9">
        <w:rPr>
          <w:rFonts w:ascii="仿宋_GB2312" w:eastAsia="仿宋_GB2312" w:hint="eastAsia"/>
          <w:sz w:val="30"/>
          <w:szCs w:val="30"/>
        </w:rPr>
        <w:t>附件：【</w:t>
      </w:r>
      <w:hyperlink r:id="rId7" w:history="1">
        <w:r w:rsidRPr="00A05FC9">
          <w:rPr>
            <w:rStyle w:val="a5"/>
            <w:rFonts w:ascii="仿宋_GB2312" w:eastAsia="仿宋_GB2312" w:hint="eastAsia"/>
            <w:sz w:val="30"/>
            <w:szCs w:val="30"/>
          </w:rPr>
          <w:t>3.资金申请报告参考格式.docx</w:t>
        </w:r>
      </w:hyperlink>
      <w:r w:rsidRPr="00A05FC9">
        <w:rPr>
          <w:rFonts w:ascii="仿宋_GB2312" w:eastAsia="仿宋_GB2312" w:hint="eastAsia"/>
          <w:sz w:val="30"/>
          <w:szCs w:val="30"/>
        </w:rPr>
        <w:t>】</w:t>
      </w:r>
    </w:p>
    <w:p w:rsidR="002C7111" w:rsidRPr="00A05FC9" w:rsidRDefault="002C7111" w:rsidP="00A05FC9">
      <w:pPr>
        <w:rPr>
          <w:rFonts w:ascii="仿宋_GB2312" w:eastAsia="仿宋_GB2312" w:hint="eastAsia"/>
          <w:sz w:val="30"/>
          <w:szCs w:val="30"/>
        </w:rPr>
      </w:pPr>
    </w:p>
    <w:sectPr w:rsidR="002C7111" w:rsidRPr="00A05FC9" w:rsidSect="006212C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A528C"/>
    <w:multiLevelType w:val="multilevel"/>
    <w:tmpl w:val="367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31"/>
    <w:rsid w:val="002C7111"/>
    <w:rsid w:val="004326E9"/>
    <w:rsid w:val="006212C9"/>
    <w:rsid w:val="00945F31"/>
    <w:rsid w:val="00A05FC9"/>
    <w:rsid w:val="00C9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4C0D6-1902-4F80-810F-F1A9CEA0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05FC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05FC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05FC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F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5F31"/>
    <w:rPr>
      <w:b/>
      <w:bCs/>
    </w:rPr>
  </w:style>
  <w:style w:type="character" w:customStyle="1" w:styleId="apple-converted-space">
    <w:name w:val="apple-converted-space"/>
    <w:basedOn w:val="a0"/>
    <w:rsid w:val="00945F31"/>
  </w:style>
  <w:style w:type="character" w:styleId="a5">
    <w:name w:val="Hyperlink"/>
    <w:basedOn w:val="a0"/>
    <w:uiPriority w:val="99"/>
    <w:unhideWhenUsed/>
    <w:rsid w:val="00945F31"/>
    <w:rPr>
      <w:color w:val="0000FF"/>
      <w:u w:val="single"/>
    </w:rPr>
  </w:style>
  <w:style w:type="character" w:customStyle="1" w:styleId="1Char">
    <w:name w:val="标题 1 Char"/>
    <w:basedOn w:val="a0"/>
    <w:link w:val="1"/>
    <w:uiPriority w:val="9"/>
    <w:rsid w:val="00A05FC9"/>
    <w:rPr>
      <w:rFonts w:ascii="宋体" w:eastAsia="宋体" w:hAnsi="宋体" w:cs="宋体"/>
      <w:b/>
      <w:bCs/>
      <w:kern w:val="36"/>
      <w:sz w:val="48"/>
      <w:szCs w:val="48"/>
    </w:rPr>
  </w:style>
  <w:style w:type="character" w:customStyle="1" w:styleId="2Char">
    <w:name w:val="标题 2 Char"/>
    <w:basedOn w:val="a0"/>
    <w:link w:val="2"/>
    <w:uiPriority w:val="9"/>
    <w:rsid w:val="00A05FC9"/>
    <w:rPr>
      <w:rFonts w:ascii="宋体" w:eastAsia="宋体" w:hAnsi="宋体" w:cs="宋体"/>
      <w:b/>
      <w:bCs/>
      <w:kern w:val="0"/>
      <w:sz w:val="36"/>
      <w:szCs w:val="36"/>
    </w:rPr>
  </w:style>
  <w:style w:type="character" w:customStyle="1" w:styleId="3Char">
    <w:name w:val="标题 3 Char"/>
    <w:basedOn w:val="a0"/>
    <w:link w:val="3"/>
    <w:uiPriority w:val="9"/>
    <w:rsid w:val="00A05FC9"/>
    <w:rPr>
      <w:rFonts w:ascii="宋体" w:eastAsia="宋体" w:hAnsi="宋体" w:cs="宋体"/>
      <w:b/>
      <w:bCs/>
      <w:kern w:val="0"/>
      <w:sz w:val="27"/>
      <w:szCs w:val="27"/>
    </w:rPr>
  </w:style>
  <w:style w:type="character" w:customStyle="1" w:styleId="gwdtitle1">
    <w:name w:val="gwdtitle1"/>
    <w:basedOn w:val="a0"/>
    <w:rsid w:val="00A05FC9"/>
  </w:style>
  <w:style w:type="character" w:customStyle="1" w:styleId="linknamespan1">
    <w:name w:val="linknamespan1"/>
    <w:basedOn w:val="a0"/>
    <w:rsid w:val="00A0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3559">
      <w:bodyDiv w:val="1"/>
      <w:marLeft w:val="0"/>
      <w:marRight w:val="0"/>
      <w:marTop w:val="0"/>
      <w:marBottom w:val="0"/>
      <w:divBdr>
        <w:top w:val="none" w:sz="0" w:space="0" w:color="auto"/>
        <w:left w:val="none" w:sz="0" w:space="0" w:color="auto"/>
        <w:bottom w:val="none" w:sz="0" w:space="0" w:color="auto"/>
        <w:right w:val="none" w:sz="0" w:space="0" w:color="auto"/>
      </w:divBdr>
    </w:div>
    <w:div w:id="1101101806">
      <w:bodyDiv w:val="1"/>
      <w:marLeft w:val="0"/>
      <w:marRight w:val="0"/>
      <w:marTop w:val="0"/>
      <w:marBottom w:val="0"/>
      <w:divBdr>
        <w:top w:val="none" w:sz="0" w:space="0" w:color="auto"/>
        <w:left w:val="none" w:sz="0" w:space="0" w:color="auto"/>
        <w:bottom w:val="none" w:sz="0" w:space="0" w:color="auto"/>
        <w:right w:val="none" w:sz="0" w:space="0" w:color="auto"/>
      </w:divBdr>
      <w:divsChild>
        <w:div w:id="599071464">
          <w:marLeft w:val="0"/>
          <w:marRight w:val="0"/>
          <w:marTop w:val="0"/>
          <w:marBottom w:val="975"/>
          <w:divBdr>
            <w:top w:val="none" w:sz="0" w:space="0" w:color="auto"/>
            <w:left w:val="none" w:sz="0" w:space="0" w:color="auto"/>
            <w:bottom w:val="none" w:sz="0" w:space="0" w:color="auto"/>
            <w:right w:val="none" w:sz="0" w:space="0" w:color="auto"/>
          </w:divBdr>
          <w:divsChild>
            <w:div w:id="821967160">
              <w:marLeft w:val="0"/>
              <w:marRight w:val="0"/>
              <w:marTop w:val="0"/>
              <w:marBottom w:val="0"/>
              <w:divBdr>
                <w:top w:val="none" w:sz="0" w:space="0" w:color="auto"/>
                <w:left w:val="none" w:sz="0" w:space="0" w:color="auto"/>
                <w:bottom w:val="none" w:sz="0" w:space="0" w:color="auto"/>
                <w:right w:val="none" w:sz="0" w:space="0" w:color="auto"/>
              </w:divBdr>
              <w:divsChild>
                <w:div w:id="139730977">
                  <w:marLeft w:val="0"/>
                  <w:marRight w:val="0"/>
                  <w:marTop w:val="0"/>
                  <w:marBottom w:val="300"/>
                  <w:divBdr>
                    <w:top w:val="none" w:sz="0" w:space="0" w:color="auto"/>
                    <w:left w:val="none" w:sz="0" w:space="0" w:color="auto"/>
                    <w:bottom w:val="single" w:sz="6" w:space="8" w:color="C2C2C2"/>
                    <w:right w:val="none" w:sz="0" w:space="0" w:color="auto"/>
                  </w:divBdr>
                </w:div>
                <w:div w:id="1684354288">
                  <w:marLeft w:val="5"/>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1855418074">
                          <w:marLeft w:val="0"/>
                          <w:marRight w:val="0"/>
                          <w:marTop w:val="0"/>
                          <w:marBottom w:val="0"/>
                          <w:divBdr>
                            <w:top w:val="single" w:sz="6" w:space="0" w:color="FF9933"/>
                            <w:left w:val="single" w:sz="6" w:space="0" w:color="FF9933"/>
                            <w:bottom w:val="single" w:sz="6" w:space="0" w:color="FF9933"/>
                            <w:right w:val="single" w:sz="6" w:space="0" w:color="FF9933"/>
                          </w:divBdr>
                          <w:divsChild>
                            <w:div w:id="3040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2107">
                  <w:marLeft w:val="0"/>
                  <w:marRight w:val="0"/>
                  <w:marTop w:val="0"/>
                  <w:marBottom w:val="300"/>
                  <w:divBdr>
                    <w:top w:val="none" w:sz="0" w:space="0" w:color="auto"/>
                    <w:left w:val="none" w:sz="0" w:space="0" w:color="auto"/>
                    <w:bottom w:val="none" w:sz="0" w:space="0" w:color="auto"/>
                    <w:right w:val="none" w:sz="0" w:space="0" w:color="auto"/>
                  </w:divBdr>
                  <w:divsChild>
                    <w:div w:id="16840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itc.sh.gov.cn/cmsres/73/7367e6405d4244629c734dd2d3d78893/c4ccbebb95177c171a159f83800628c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itc.sh.gov.cn/cmsres/93/931d138cef834c298a69a890dc4ea0a8/ba10e01ebd8f1052ae2b3e9952aaa049.docx" TargetMode="External"/><Relationship Id="rId5" Type="http://schemas.openxmlformats.org/officeDocument/2006/relationships/hyperlink" Target="http://sheitc.sh.gov.cn/cmsres/49/4904a1e6780547da82fe364ec770c90a/352596caf4058def998698d50593346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332</Words>
  <Characters>1898</Characters>
  <Application>Microsoft Office Word</Application>
  <DocSecurity>0</DocSecurity>
  <Lines>15</Lines>
  <Paragraphs>4</Paragraphs>
  <ScaleCrop>false</ScaleCrop>
  <Company>微软中国</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2020-07-29T02:48:00Z</dcterms:created>
  <dcterms:modified xsi:type="dcterms:W3CDTF">2020-07-29T02:54:00Z</dcterms:modified>
</cp:coreProperties>
</file>