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b/>
          <w:sz w:val="36"/>
          <w:szCs w:val="36"/>
        </w:rPr>
      </w:pPr>
      <w:bookmarkStart w:id="0" w:name="_GoBack"/>
      <w:r>
        <w:rPr>
          <w:rFonts w:hint="eastAsia" w:ascii="方正小标宋简体" w:hAnsi="仿宋" w:eastAsia="方正小标宋简体"/>
          <w:b/>
          <w:sz w:val="36"/>
          <w:szCs w:val="36"/>
        </w:rPr>
        <w:t>嘉定区关于加快本区高新技术企业发展的</w:t>
      </w:r>
    </w:p>
    <w:p>
      <w:pPr>
        <w:jc w:val="center"/>
        <w:rPr>
          <w:rFonts w:ascii="方正小标宋简体" w:hAnsi="仿宋" w:eastAsia="方正小标宋简体"/>
          <w:b/>
          <w:sz w:val="36"/>
          <w:szCs w:val="36"/>
        </w:rPr>
      </w:pPr>
      <w:r>
        <w:rPr>
          <w:rFonts w:hint="eastAsia" w:ascii="方正小标宋简体" w:hAnsi="仿宋" w:eastAsia="方正小标宋简体"/>
          <w:b/>
          <w:sz w:val="36"/>
          <w:szCs w:val="36"/>
        </w:rPr>
        <w:t>实施方案（2020-2025）</w:t>
      </w:r>
    </w:p>
    <w:bookmarkEnd w:id="0"/>
    <w:p>
      <w:pPr>
        <w:jc w:val="center"/>
        <w:rPr>
          <w:rFonts w:ascii="楷体_GB2312" w:hAnsi="仿宋" w:eastAsia="楷体_GB2312"/>
          <w:b/>
          <w:sz w:val="32"/>
          <w:szCs w:val="32"/>
        </w:rPr>
      </w:pPr>
      <w:r>
        <w:rPr>
          <w:rFonts w:hint="eastAsia" w:ascii="楷体_GB2312" w:hAnsi="仿宋" w:eastAsia="楷体_GB2312"/>
          <w:b/>
          <w:sz w:val="32"/>
          <w:szCs w:val="32"/>
        </w:rPr>
        <w:t>（</w:t>
      </w:r>
      <w:r>
        <w:rPr>
          <w:rFonts w:hint="eastAsia" w:ascii="楷体_GB2312" w:hAnsi="仿宋" w:eastAsia="楷体_GB2312"/>
          <w:b/>
          <w:sz w:val="32"/>
          <w:szCs w:val="32"/>
          <w:lang w:eastAsia="zh-CN"/>
        </w:rPr>
        <w:t>草案</w:t>
      </w:r>
      <w:r>
        <w:rPr>
          <w:rFonts w:hint="eastAsia" w:ascii="楷体_GB2312" w:hAnsi="仿宋" w:eastAsia="楷体_GB2312"/>
          <w:b/>
          <w:sz w:val="32"/>
          <w:szCs w:val="32"/>
        </w:rPr>
        <w:t>）</w:t>
      </w:r>
    </w:p>
    <w:p>
      <w:pPr>
        <w:rPr>
          <w:rFonts w:ascii="仿宋" w:hAnsi="仿宋" w:eastAsia="仿宋"/>
          <w:sz w:val="30"/>
          <w:szCs w:val="30"/>
        </w:rPr>
      </w:pPr>
    </w:p>
    <w:p>
      <w:pPr>
        <w:ind w:firstLine="604" w:firstLineChars="189"/>
        <w:contextualSpacing/>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为深入实施创新驱动发展战略，加快发展本区高新技术企业，全面激发主体活力，持续增强创新动力，巩固提升产业实力，做强高端制造业重要阵地、科创中心重要承载区和长三角重要节点三大核心功能，根据《上海市人民政府关于加快本市高新技术企业发展的若干意见》和六届区委九次全会精神，制定本实施方案。</w:t>
      </w:r>
    </w:p>
    <w:p>
      <w:pPr>
        <w:contextualSpacing/>
        <w:rPr>
          <w:rFonts w:ascii="黑体" w:hAnsi="黑体" w:eastAsia="黑体"/>
          <w:color w:val="000000" w:themeColor="text1"/>
          <w:sz w:val="32"/>
          <w:szCs w:val="32"/>
        </w:rPr>
      </w:pPr>
      <w:r>
        <w:rPr>
          <w:rFonts w:hint="eastAsia" w:ascii="黑体" w:hAnsi="黑体" w:eastAsia="黑体"/>
          <w:color w:val="000000" w:themeColor="text1"/>
          <w:sz w:val="32"/>
          <w:szCs w:val="32"/>
        </w:rPr>
        <w:t xml:space="preserve">    一、总体要求</w:t>
      </w:r>
    </w:p>
    <w:p>
      <w:pPr>
        <w:contextualSpacing/>
        <w:rPr>
          <w:rFonts w:ascii="楷体_GB2312" w:hAnsi="仿宋" w:eastAsia="楷体_GB2312"/>
          <w:b/>
          <w:color w:val="000000" w:themeColor="text1"/>
          <w:sz w:val="32"/>
          <w:szCs w:val="32"/>
        </w:rPr>
      </w:pPr>
      <w:r>
        <w:rPr>
          <w:rFonts w:hint="eastAsia" w:ascii="楷体_GB2312" w:hAnsi="仿宋" w:eastAsia="楷体_GB2312"/>
          <w:b/>
          <w:color w:val="000000" w:themeColor="text1"/>
          <w:sz w:val="32"/>
          <w:szCs w:val="32"/>
        </w:rPr>
        <w:t xml:space="preserve">    （一）指导思想</w:t>
      </w:r>
    </w:p>
    <w:p>
      <w:pPr>
        <w:ind w:firstLine="604" w:firstLineChars="189"/>
        <w:contextualSpacing/>
        <w:rPr>
          <w:rFonts w:ascii="仿宋_GB2312" w:eastAsia="仿宋_GB2312"/>
          <w:sz w:val="32"/>
          <w:szCs w:val="32"/>
        </w:rPr>
      </w:pPr>
      <w:r>
        <w:rPr>
          <w:rFonts w:hint="eastAsia" w:ascii="仿宋_GB2312" w:hAnsi="仿宋" w:eastAsia="仿宋_GB2312"/>
          <w:color w:val="000000" w:themeColor="text1"/>
          <w:sz w:val="32"/>
          <w:szCs w:val="32"/>
        </w:rPr>
        <w:t>以习近平新时代中国特色社会主义思想为指导，全面贯彻落实党的十九大精神，聚焦创新驱动发展战略，强化“科技嘉定”发展动力，加快完善创新生态体系，积极营造一流营商环境，</w:t>
      </w:r>
      <w:r>
        <w:rPr>
          <w:rFonts w:hint="eastAsia" w:ascii="仿宋_GB2312" w:eastAsia="仿宋_GB2312"/>
          <w:sz w:val="32"/>
          <w:szCs w:val="32"/>
        </w:rPr>
        <w:t>强化创新策源和成果转化能力，加快构建高质量发展的新动能体系，</w:t>
      </w:r>
      <w:r>
        <w:rPr>
          <w:rFonts w:hint="eastAsia" w:ascii="仿宋_GB2312" w:hAnsi="仿宋" w:eastAsia="仿宋_GB2312"/>
          <w:color w:val="000000" w:themeColor="text1"/>
          <w:sz w:val="32"/>
          <w:szCs w:val="32"/>
        </w:rPr>
        <w:t>全面推进</w:t>
      </w:r>
      <w:r>
        <w:rPr>
          <w:rFonts w:hint="eastAsia" w:ascii="仿宋_GB2312" w:eastAsia="仿宋_GB2312"/>
          <w:sz w:val="32"/>
          <w:szCs w:val="32"/>
        </w:rPr>
        <w:t>高新技术企业向高端化、集群化发展，显著提升企业综合实力和竞争力，进一步壮大高新技术产业，</w:t>
      </w:r>
      <w:r>
        <w:rPr>
          <w:rFonts w:hint="eastAsia" w:ascii="仿宋_GB2312" w:hAnsi="仿宋" w:eastAsia="仿宋_GB2312"/>
          <w:color w:val="000000" w:themeColor="text1"/>
          <w:sz w:val="32"/>
          <w:szCs w:val="32"/>
        </w:rPr>
        <w:t>为推进本区战略性新兴产业发展提供有力支撑，</w:t>
      </w:r>
      <w:r>
        <w:rPr>
          <w:rFonts w:hint="eastAsia" w:ascii="仿宋_GB2312" w:eastAsia="仿宋_GB2312"/>
          <w:sz w:val="32"/>
          <w:szCs w:val="32"/>
        </w:rPr>
        <w:t>加快打造“创新活力充沛、融合发展充分、人文魅力充足”的现代化新型城市。</w:t>
      </w:r>
    </w:p>
    <w:p>
      <w:pPr>
        <w:contextualSpacing/>
        <w:rPr>
          <w:rFonts w:ascii="楷体_GB2312" w:hAnsi="仿宋" w:eastAsia="楷体_GB2312"/>
          <w:b/>
          <w:color w:val="000000" w:themeColor="text1"/>
          <w:sz w:val="32"/>
          <w:szCs w:val="32"/>
        </w:rPr>
      </w:pPr>
      <w:r>
        <w:rPr>
          <w:rFonts w:hint="eastAsia" w:ascii="楷体_GB2312" w:hAnsi="仿宋" w:eastAsia="楷体_GB2312"/>
          <w:b/>
          <w:color w:val="000000" w:themeColor="text1"/>
          <w:sz w:val="32"/>
          <w:szCs w:val="32"/>
        </w:rPr>
        <w:t xml:space="preserve">    （二）基本原则</w:t>
      </w:r>
    </w:p>
    <w:p>
      <w:pPr>
        <w:ind w:firstLine="643" w:firstLineChars="200"/>
        <w:contextualSpacing/>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1.</w:t>
      </w:r>
      <w:r>
        <w:rPr>
          <w:rFonts w:hint="eastAsia" w:ascii="仿宋_GB2312" w:eastAsia="仿宋_GB2312"/>
          <w:b/>
          <w:sz w:val="32"/>
          <w:szCs w:val="32"/>
        </w:rPr>
        <w:t>企业为主，政府引导。</w:t>
      </w:r>
      <w:r>
        <w:rPr>
          <w:rFonts w:hint="eastAsia" w:ascii="仿宋_GB2312" w:eastAsia="仿宋_GB2312"/>
          <w:sz w:val="32"/>
          <w:szCs w:val="32"/>
        </w:rPr>
        <w:t>以提升企业自主创新能力为目标，充分发挥政府的引导作用，激发企业创新的主观能动性，推动企业加大研发投入，加快成果转化，建立创新机制，培育发展一批优质高新技术企业。</w:t>
      </w:r>
    </w:p>
    <w:p>
      <w:pPr>
        <w:ind w:firstLine="643" w:firstLineChars="200"/>
        <w:contextualSpacing/>
        <w:rPr>
          <w:rFonts w:ascii="仿宋_GB2312" w:eastAsia="仿宋_GB2312"/>
          <w:sz w:val="32"/>
          <w:szCs w:val="32"/>
        </w:rPr>
      </w:pPr>
      <w:r>
        <w:rPr>
          <w:rFonts w:hint="eastAsia" w:ascii="仿宋_GB2312" w:hAnsi="仿宋" w:eastAsia="仿宋_GB2312"/>
          <w:b/>
          <w:color w:val="000000" w:themeColor="text1"/>
          <w:sz w:val="32"/>
          <w:szCs w:val="32"/>
        </w:rPr>
        <w:t>2.系统布局，协同联动。</w:t>
      </w:r>
      <w:r>
        <w:rPr>
          <w:rFonts w:hint="eastAsia" w:ascii="仿宋_GB2312" w:hAnsi="仿宋" w:eastAsia="仿宋_GB2312"/>
          <w:color w:val="000000" w:themeColor="text1"/>
          <w:sz w:val="32"/>
          <w:szCs w:val="32"/>
        </w:rPr>
        <w:t>聚焦重点</w:t>
      </w:r>
      <w:r>
        <w:rPr>
          <w:rFonts w:hint="eastAsia" w:ascii="仿宋_GB2312" w:eastAsia="仿宋_GB2312"/>
          <w:sz w:val="32"/>
          <w:szCs w:val="32"/>
        </w:rPr>
        <w:t>高新技术领域、</w:t>
      </w:r>
      <w:r>
        <w:rPr>
          <w:rFonts w:hint="eastAsia" w:ascii="仿宋_GB2312" w:hAnsi="仿宋" w:eastAsia="仿宋_GB2312"/>
          <w:color w:val="000000" w:themeColor="text1"/>
          <w:sz w:val="32"/>
          <w:szCs w:val="32"/>
        </w:rPr>
        <w:t>重点产业和重点区域，建库储备，分类管理。</w:t>
      </w:r>
      <w:r>
        <w:rPr>
          <w:rFonts w:hint="eastAsia" w:ascii="仿宋_GB2312" w:eastAsia="仿宋_GB2312"/>
          <w:sz w:val="32"/>
          <w:szCs w:val="32"/>
        </w:rPr>
        <w:t>强化区镇两级协同，优化科技、财政、税务等多部门联动集成，着力</w:t>
      </w:r>
      <w:r>
        <w:rPr>
          <w:rFonts w:hint="eastAsia" w:ascii="仿宋_GB2312" w:hAnsi="仿宋" w:eastAsia="仿宋_GB2312"/>
          <w:color w:val="000000" w:themeColor="text1"/>
          <w:sz w:val="32"/>
          <w:szCs w:val="32"/>
        </w:rPr>
        <w:t>发展高新技术产业集群</w:t>
      </w:r>
      <w:r>
        <w:rPr>
          <w:rFonts w:hint="eastAsia" w:ascii="仿宋_GB2312" w:eastAsia="仿宋_GB2312"/>
          <w:sz w:val="32"/>
          <w:szCs w:val="32"/>
        </w:rPr>
        <w:t>。</w:t>
      </w:r>
    </w:p>
    <w:p>
      <w:pPr>
        <w:ind w:firstLine="643" w:firstLineChars="200"/>
        <w:contextualSpacing/>
        <w:rPr>
          <w:rFonts w:ascii="仿宋_GB2312" w:eastAsia="仿宋_GB2312"/>
          <w:sz w:val="32"/>
          <w:szCs w:val="32"/>
        </w:rPr>
      </w:pPr>
      <w:r>
        <w:rPr>
          <w:rFonts w:hint="eastAsia" w:ascii="仿宋_GB2312" w:hAnsi="仿宋" w:eastAsia="仿宋_GB2312"/>
          <w:b/>
          <w:color w:val="000000" w:themeColor="text1"/>
          <w:sz w:val="32"/>
          <w:szCs w:val="32"/>
        </w:rPr>
        <w:t>3.优化服务，精准施策。</w:t>
      </w:r>
      <w:r>
        <w:rPr>
          <w:rFonts w:hint="eastAsia" w:ascii="仿宋_GB2312" w:hAnsi="仿宋" w:eastAsia="仿宋_GB2312"/>
          <w:color w:val="000000" w:themeColor="text1"/>
          <w:sz w:val="32"/>
          <w:szCs w:val="32"/>
        </w:rPr>
        <w:t>提升政府公共服务水平，</w:t>
      </w:r>
      <w:r>
        <w:rPr>
          <w:rFonts w:hint="eastAsia" w:ascii="仿宋_GB2312" w:eastAsia="仿宋_GB2312"/>
          <w:sz w:val="32"/>
          <w:szCs w:val="32"/>
        </w:rPr>
        <w:t>优化政策支持，</w:t>
      </w:r>
      <w:r>
        <w:rPr>
          <w:rFonts w:hint="eastAsia" w:ascii="仿宋_GB2312" w:hAnsi="仿宋" w:eastAsia="仿宋_GB2312"/>
          <w:color w:val="000000" w:themeColor="text1"/>
          <w:sz w:val="32"/>
          <w:szCs w:val="32"/>
        </w:rPr>
        <w:t>整合资源要素，</w:t>
      </w:r>
      <w:r>
        <w:rPr>
          <w:rFonts w:hint="eastAsia" w:ascii="仿宋_GB2312" w:eastAsia="仿宋_GB2312"/>
          <w:sz w:val="32"/>
          <w:szCs w:val="32"/>
        </w:rPr>
        <w:t>完善服务体系，加强</w:t>
      </w:r>
      <w:r>
        <w:rPr>
          <w:rFonts w:hint="eastAsia" w:ascii="仿宋_GB2312" w:hAnsi="仿宋" w:eastAsia="仿宋_GB2312"/>
          <w:color w:val="000000" w:themeColor="text1"/>
          <w:sz w:val="32"/>
          <w:szCs w:val="32"/>
        </w:rPr>
        <w:t>宣传引导和跟踪</w:t>
      </w:r>
      <w:r>
        <w:rPr>
          <w:rFonts w:hint="eastAsia" w:ascii="仿宋_GB2312" w:eastAsia="仿宋_GB2312"/>
          <w:sz w:val="32"/>
          <w:szCs w:val="32"/>
        </w:rPr>
        <w:t>动态管理，助推高新技术企业集聚发展。</w:t>
      </w:r>
    </w:p>
    <w:p>
      <w:pPr>
        <w:pStyle w:val="7"/>
        <w:ind w:left="607" w:firstLine="0" w:firstLineChars="0"/>
        <w:contextualSpacing/>
        <w:rPr>
          <w:rFonts w:ascii="楷体_GB2312" w:hAnsi="仿宋" w:eastAsia="楷体_GB2312"/>
          <w:b/>
          <w:color w:val="000000" w:themeColor="text1"/>
          <w:sz w:val="32"/>
          <w:szCs w:val="32"/>
        </w:rPr>
      </w:pPr>
      <w:r>
        <w:rPr>
          <w:rFonts w:hint="eastAsia" w:ascii="楷体_GB2312" w:hAnsi="仿宋" w:eastAsia="楷体_GB2312"/>
          <w:b/>
          <w:color w:val="000000" w:themeColor="text1"/>
          <w:sz w:val="32"/>
          <w:szCs w:val="32"/>
        </w:rPr>
        <w:t>（三）工作目标</w:t>
      </w:r>
    </w:p>
    <w:p>
      <w:pPr>
        <w:ind w:firstLine="604" w:firstLineChars="189"/>
        <w:contextualSpacing/>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到2020年，全区有效期内高新技术企业总量达到1600家左右，营业收入超2800亿元，利润总额达到180亿元，研发费用投入超过200亿元；到2022年，全市有效期内高新技术企业总量超过2000家；到2025年，达到2800家，涌现出一批具有国际竞争力的高新技术领军企业。</w:t>
      </w:r>
    </w:p>
    <w:p>
      <w:pPr>
        <w:contextualSpacing/>
        <w:rPr>
          <w:rFonts w:ascii="黑体" w:hAnsi="黑体" w:eastAsia="黑体"/>
          <w:color w:val="000000" w:themeColor="text1"/>
          <w:sz w:val="32"/>
          <w:szCs w:val="32"/>
        </w:rPr>
      </w:pPr>
      <w:r>
        <w:rPr>
          <w:rFonts w:hint="eastAsia" w:ascii="黑体" w:hAnsi="黑体" w:eastAsia="黑体"/>
          <w:color w:val="000000" w:themeColor="text1"/>
          <w:sz w:val="32"/>
          <w:szCs w:val="32"/>
        </w:rPr>
        <w:t xml:space="preserve">    二、</w:t>
      </w:r>
      <w:r>
        <w:rPr>
          <w:rFonts w:ascii="黑体" w:hAnsi="黑体" w:eastAsia="黑体"/>
          <w:color w:val="000000" w:themeColor="text1"/>
          <w:sz w:val="32"/>
          <w:szCs w:val="32"/>
        </w:rPr>
        <w:t>重点措施</w:t>
      </w:r>
    </w:p>
    <w:p>
      <w:pPr>
        <w:ind w:firstLine="630"/>
        <w:rPr>
          <w:rFonts w:ascii="楷体_GB2312" w:eastAsia="楷体_GB2312"/>
          <w:b/>
          <w:sz w:val="32"/>
          <w:szCs w:val="32"/>
        </w:rPr>
      </w:pPr>
      <w:r>
        <w:rPr>
          <w:rFonts w:hint="eastAsia" w:ascii="楷体_GB2312" w:eastAsia="楷体_GB2312"/>
          <w:b/>
          <w:sz w:val="32"/>
          <w:szCs w:val="32"/>
        </w:rPr>
        <w:t>（一）优化培育发展机制</w:t>
      </w:r>
    </w:p>
    <w:p>
      <w:pPr>
        <w:ind w:firstLine="630"/>
        <w:rPr>
          <w:rFonts w:ascii="仿宋_GB2312" w:hAnsi="仿宋" w:eastAsia="仿宋_GB2312"/>
          <w:color w:val="000000" w:themeColor="text1"/>
          <w:sz w:val="32"/>
          <w:szCs w:val="32"/>
        </w:rPr>
      </w:pPr>
      <w:r>
        <w:rPr>
          <w:rFonts w:hint="eastAsia" w:ascii="仿宋_GB2312" w:eastAsia="仿宋_GB2312"/>
          <w:b/>
          <w:sz w:val="32"/>
          <w:szCs w:val="32"/>
        </w:rPr>
        <w:t>1.做实</w:t>
      </w:r>
      <w:r>
        <w:rPr>
          <w:rFonts w:hint="eastAsia" w:ascii="仿宋_GB2312" w:hAnsi="仿宋" w:eastAsia="仿宋_GB2312"/>
          <w:b/>
          <w:color w:val="000000" w:themeColor="text1"/>
          <w:sz w:val="32"/>
          <w:szCs w:val="32"/>
        </w:rPr>
        <w:t>高新技术企业培育库。</w:t>
      </w:r>
      <w:r>
        <w:rPr>
          <w:rFonts w:hint="eastAsia" w:ascii="仿宋_GB2312" w:hAnsi="仿宋" w:eastAsia="仿宋_GB2312"/>
          <w:color w:val="000000" w:themeColor="text1"/>
          <w:sz w:val="32"/>
          <w:szCs w:val="32"/>
        </w:rPr>
        <w:t>进一步健全本区高新技术企业培育库，每年滚动储备1000家左右</w:t>
      </w:r>
      <w:r>
        <w:rPr>
          <w:rFonts w:hint="eastAsia" w:ascii="仿宋_GB2312" w:eastAsia="仿宋_GB2312"/>
          <w:sz w:val="32"/>
          <w:szCs w:val="32"/>
        </w:rPr>
        <w:t>创新基础好、发展潜力大的科技型中小企业</w:t>
      </w:r>
      <w:r>
        <w:rPr>
          <w:rFonts w:hint="eastAsia" w:ascii="仿宋_GB2312" w:hAnsi="仿宋" w:eastAsia="仿宋_GB2312"/>
          <w:color w:val="000000" w:themeColor="text1"/>
          <w:sz w:val="32"/>
          <w:szCs w:val="32"/>
        </w:rPr>
        <w:t>予以培育发展，并参照国家高新技术企业的认定标准及市科委等相关部门制定的本市高新技术企业培育入库标准和实施细则，将符合或接近标准的企业纳入重点发展对象，从中推荐申报高新技术企业和市高新技术入库培育企业，构建完善“科技创业团队—初创期科技型企业—高新技术入库培育企业—高新技术企业”的高新技术企业培育链。（责任单位：区科委、各街镇）</w:t>
      </w:r>
    </w:p>
    <w:p>
      <w:pPr>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 xml:space="preserve">    2.做强协同联动培育发展机制。</w:t>
      </w:r>
      <w:r>
        <w:rPr>
          <w:rFonts w:hint="eastAsia" w:ascii="仿宋_GB2312" w:hAnsi="仿宋" w:eastAsia="仿宋_GB2312"/>
          <w:color w:val="000000" w:themeColor="text1"/>
          <w:sz w:val="32"/>
          <w:szCs w:val="32"/>
        </w:rPr>
        <w:t>发挥各街镇在引进、培育和扶持高新技术企业发展中的主体作用，街镇每年摸底梳理和推荐一批梯度培育名单，</w:t>
      </w:r>
      <w:r>
        <w:rPr>
          <w:rFonts w:hint="eastAsia" w:ascii="仿宋_GB2312" w:eastAsia="仿宋_GB2312"/>
          <w:sz w:val="32"/>
          <w:szCs w:val="32"/>
        </w:rPr>
        <w:t>对照高新技术企业认定评审标准分为苗子期、培育期和成熟期三类企业，</w:t>
      </w:r>
      <w:r>
        <w:rPr>
          <w:rFonts w:hint="eastAsia" w:ascii="仿宋_GB2312" w:hAnsi="仿宋" w:eastAsia="仿宋_GB2312"/>
          <w:color w:val="000000" w:themeColor="text1"/>
          <w:sz w:val="32"/>
          <w:szCs w:val="32"/>
        </w:rPr>
        <w:t>区镇协同</w:t>
      </w:r>
      <w:r>
        <w:rPr>
          <w:rFonts w:hint="eastAsia" w:ascii="仿宋_GB2312" w:eastAsia="仿宋_GB2312"/>
          <w:sz w:val="32"/>
          <w:szCs w:val="32"/>
        </w:rPr>
        <w:t>分类施策开展高企梯度培育，</w:t>
      </w:r>
      <w:r>
        <w:rPr>
          <w:rFonts w:hint="eastAsia" w:ascii="仿宋_GB2312" w:hAnsi="仿宋" w:eastAsia="仿宋_GB2312"/>
          <w:color w:val="000000" w:themeColor="text1"/>
          <w:sz w:val="32"/>
          <w:szCs w:val="32"/>
        </w:rPr>
        <w:t>实行动态管理、跟踪服务，形成“发现一批、服务一批、推出一批、认定一批”的培育发展机制，</w:t>
      </w:r>
      <w:r>
        <w:rPr>
          <w:rFonts w:hint="eastAsia" w:ascii="仿宋_GB2312" w:eastAsia="仿宋_GB2312"/>
          <w:sz w:val="32"/>
          <w:szCs w:val="32"/>
        </w:rPr>
        <w:t>为发展高新技术企业提供持续储备。</w:t>
      </w:r>
      <w:r>
        <w:rPr>
          <w:rFonts w:hint="eastAsia" w:ascii="仿宋_GB2312" w:hAnsi="仿宋" w:eastAsia="仿宋_GB2312"/>
          <w:color w:val="000000" w:themeColor="text1"/>
          <w:sz w:val="32"/>
          <w:szCs w:val="32"/>
        </w:rPr>
        <w:t>（责任单位：区科委、各街镇）</w:t>
      </w:r>
    </w:p>
    <w:p>
      <w:pPr>
        <w:ind w:firstLine="63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3.做优</w:t>
      </w:r>
      <w:r>
        <w:rPr>
          <w:rFonts w:hint="eastAsia" w:ascii="仿宋_GB2312" w:eastAsia="仿宋_GB2312"/>
          <w:b/>
          <w:sz w:val="32"/>
          <w:szCs w:val="32"/>
        </w:rPr>
        <w:t>源头</w:t>
      </w:r>
      <w:r>
        <w:rPr>
          <w:rFonts w:hint="eastAsia" w:ascii="仿宋_GB2312" w:hAnsi="仿宋" w:eastAsia="仿宋_GB2312"/>
          <w:b/>
          <w:color w:val="000000" w:themeColor="text1"/>
          <w:sz w:val="32"/>
          <w:szCs w:val="32"/>
        </w:rPr>
        <w:t>孵化育成体系。</w:t>
      </w:r>
      <w:r>
        <w:rPr>
          <w:rFonts w:hint="eastAsia" w:ascii="仿宋_GB2312" w:hAnsi="仿宋" w:eastAsia="仿宋_GB2312"/>
          <w:color w:val="000000" w:themeColor="text1"/>
          <w:sz w:val="32"/>
          <w:szCs w:val="32"/>
        </w:rPr>
        <w:t>完善本区“众创空间—孵化器—加速器—科技园区”全链条科技企业孵化育成体系，引导各类孵化载体围绕国家重点支持的高新技术领域优化高新技术企业孵化培育服务，把孵育高新技术企业成效作为评选区级“三化”众创空间和推荐市级科技企业孵化器的重点指标，提升载体服务效能。依托驻嘉高校、科研院所研发平台、重点产业研发和功能型平台及各类创新中心，</w:t>
      </w:r>
      <w:r>
        <w:rPr>
          <w:rFonts w:hint="eastAsia" w:ascii="仿宋_GB2312" w:eastAsia="仿宋_GB2312"/>
          <w:sz w:val="32"/>
          <w:szCs w:val="32"/>
        </w:rPr>
        <w:t>加速产学研合作、科技成果转化，着力孵化和引进一批团队优良、技术领先的优质企业。</w:t>
      </w:r>
      <w:r>
        <w:rPr>
          <w:rFonts w:hint="eastAsia" w:ascii="仿宋_GB2312" w:hAnsi="仿宋" w:eastAsia="仿宋_GB2312"/>
          <w:color w:val="000000" w:themeColor="text1"/>
          <w:sz w:val="32"/>
          <w:szCs w:val="32"/>
        </w:rPr>
        <w:t>（责任单位：区科委、区经委、各街镇）</w:t>
      </w:r>
    </w:p>
    <w:p>
      <w:pPr>
        <w:pStyle w:val="7"/>
        <w:ind w:left="607" w:firstLine="0" w:firstLineChars="0"/>
        <w:contextualSpacing/>
        <w:rPr>
          <w:rFonts w:ascii="楷体_GB2312" w:hAnsi="仿宋" w:eastAsia="楷体_GB2312"/>
          <w:b/>
          <w:color w:val="000000" w:themeColor="text1"/>
          <w:sz w:val="32"/>
          <w:szCs w:val="32"/>
        </w:rPr>
      </w:pPr>
      <w:r>
        <w:rPr>
          <w:rFonts w:hint="eastAsia" w:ascii="楷体_GB2312" w:hAnsi="仿宋" w:eastAsia="楷体_GB2312"/>
          <w:b/>
          <w:color w:val="000000" w:themeColor="text1"/>
          <w:sz w:val="32"/>
          <w:szCs w:val="32"/>
        </w:rPr>
        <w:t>（二）强化政策激励引导</w:t>
      </w:r>
    </w:p>
    <w:p>
      <w:pPr>
        <w:ind w:firstLine="66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1.给予高企认定资助。</w:t>
      </w:r>
      <w:r>
        <w:rPr>
          <w:rFonts w:hint="eastAsia" w:ascii="仿宋_GB2312" w:hAnsi="仿宋" w:eastAsia="仿宋_GB2312"/>
          <w:color w:val="000000" w:themeColor="text1"/>
          <w:sz w:val="32"/>
          <w:szCs w:val="32"/>
        </w:rPr>
        <w:t>对纳入上海市高新技术企业入库培育的企业，按市高新技术企业财政扶持政策规定给予一次性资金支持。对注册在本区首次认定为高新技术企业的，给予认定后一次性10万元财政资金资助，对重新认定为高新技术企业的，给予认定后一次性5万元财政资金资助；其中符合张江</w:t>
      </w:r>
      <w:r>
        <w:rPr>
          <w:rFonts w:hint="eastAsia" w:ascii="仿宋_GB2312" w:hAnsi="Calibri" w:eastAsia="仿宋_GB2312" w:cs="Times New Roman"/>
          <w:color w:val="000000" w:themeColor="text1"/>
          <w:sz w:val="32"/>
          <w:szCs w:val="32"/>
        </w:rPr>
        <w:t>国家自主创新示范区</w:t>
      </w:r>
      <w:r>
        <w:rPr>
          <w:rFonts w:hint="eastAsia" w:ascii="仿宋_GB2312" w:hAnsi="仿宋" w:eastAsia="仿宋_GB2312"/>
          <w:color w:val="000000" w:themeColor="text1"/>
          <w:sz w:val="32"/>
          <w:szCs w:val="32"/>
        </w:rPr>
        <w:t>扶持政策的高新技术企业，则按照</w:t>
      </w:r>
      <w:r>
        <w:rPr>
          <w:rFonts w:hint="eastAsia" w:ascii="仿宋_GB2312" w:hAnsi="Calibri" w:eastAsia="仿宋_GB2312" w:cs="Times New Roman"/>
          <w:color w:val="000000" w:themeColor="text1"/>
          <w:sz w:val="32"/>
          <w:szCs w:val="32"/>
        </w:rPr>
        <w:t>张江专项发展资金管理办法</w:t>
      </w:r>
      <w:r>
        <w:rPr>
          <w:rFonts w:hint="eastAsia" w:ascii="仿宋_GB2312" w:hAnsi="仿宋" w:eastAsia="仿宋_GB2312"/>
          <w:color w:val="000000" w:themeColor="text1"/>
          <w:sz w:val="32"/>
          <w:szCs w:val="32"/>
        </w:rPr>
        <w:t>给予认定后</w:t>
      </w:r>
      <w:r>
        <w:rPr>
          <w:rFonts w:hint="eastAsia" w:ascii="仿宋_GB2312" w:hAnsi="Calibri" w:eastAsia="仿宋_GB2312" w:cs="Times New Roman"/>
          <w:color w:val="000000" w:themeColor="text1"/>
          <w:sz w:val="32"/>
          <w:szCs w:val="32"/>
        </w:rPr>
        <w:t>一次性</w:t>
      </w:r>
      <w:r>
        <w:rPr>
          <w:rFonts w:hint="eastAsia" w:ascii="仿宋_GB2312" w:eastAsia="仿宋_GB2312"/>
          <w:color w:val="000000" w:themeColor="text1"/>
          <w:sz w:val="32"/>
          <w:szCs w:val="32"/>
        </w:rPr>
        <w:t>资助。</w:t>
      </w:r>
      <w:r>
        <w:rPr>
          <w:rFonts w:hint="eastAsia" w:ascii="仿宋_GB2312" w:hAnsi="仿宋" w:eastAsia="仿宋_GB2312"/>
          <w:color w:val="000000" w:themeColor="text1"/>
          <w:sz w:val="32"/>
          <w:szCs w:val="32"/>
        </w:rPr>
        <w:t>（责任单位：区科委、区财政局、各街镇）</w:t>
      </w:r>
    </w:p>
    <w:p>
      <w:pPr>
        <w:ind w:firstLine="643" w:firstLineChars="200"/>
        <w:contextualSpacing/>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2.落实财税优惠政策。</w:t>
      </w:r>
      <w:r>
        <w:rPr>
          <w:rFonts w:hint="eastAsia" w:ascii="仿宋_GB2312" w:hAnsi="仿宋" w:eastAsia="仿宋_GB2312"/>
          <w:color w:val="000000" w:themeColor="text1"/>
          <w:sz w:val="32"/>
          <w:szCs w:val="32"/>
        </w:rPr>
        <w:t>落实好高新技术企业所得税、研发费用加计扣除等税收优惠政策，进一步降低企业研发成本。推动高新技术企业开展科技型中小企业评价入库和年度信息更新，企业亏损结转弥补年限延长至十年。鼓励科研人员实施科技成果转化，高新技术企业给予科研人员符合条件的股权奖励，可按照规定享受分期或递延缴纳个人所得税政策。（责任单位：区税务局）</w:t>
      </w:r>
    </w:p>
    <w:p>
      <w:pPr>
        <w:ind w:firstLine="643" w:firstLineChars="200"/>
        <w:contextualSpacing/>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3.强化创新扶持政策落实。</w:t>
      </w:r>
      <w:r>
        <w:rPr>
          <w:rFonts w:hint="eastAsia" w:ascii="仿宋_GB2312" w:hAnsi="仿宋" w:eastAsia="仿宋_GB2312"/>
          <w:color w:val="000000" w:themeColor="text1"/>
          <w:sz w:val="32"/>
          <w:szCs w:val="32"/>
        </w:rPr>
        <w:t>鼓励并支持符合条件的企业申报国家、市、区级各类创新扶持政策。积极落实科技创新、平台建设、成果转化、知识产权、科技人才、科技金融等相关科创政策扶持，推动高新技术企业及培育企业快速发展。（责任单位：区科委、区经委、区商务委、区人社局、区市场监管局、各街镇）</w:t>
      </w:r>
    </w:p>
    <w:p>
      <w:pPr>
        <w:pStyle w:val="7"/>
        <w:ind w:left="607" w:firstLine="0" w:firstLineChars="0"/>
        <w:contextualSpacing/>
        <w:rPr>
          <w:rFonts w:ascii="楷体_GB2312" w:hAnsi="仿宋" w:eastAsia="楷体_GB2312"/>
          <w:b/>
          <w:color w:val="000000" w:themeColor="text1"/>
          <w:sz w:val="32"/>
          <w:szCs w:val="32"/>
        </w:rPr>
      </w:pPr>
      <w:r>
        <w:rPr>
          <w:rFonts w:hint="eastAsia" w:ascii="楷体_GB2312" w:hAnsi="仿宋" w:eastAsia="楷体_GB2312"/>
          <w:b/>
          <w:color w:val="000000" w:themeColor="text1"/>
          <w:sz w:val="32"/>
          <w:szCs w:val="32"/>
        </w:rPr>
        <w:t>（三）支持高企高质量发展</w:t>
      </w:r>
    </w:p>
    <w:p>
      <w:pPr>
        <w:pStyle w:val="7"/>
        <w:ind w:firstLine="643"/>
        <w:contextualSpacing/>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1.促进科技创新能力提升。</w:t>
      </w:r>
      <w:r>
        <w:rPr>
          <w:rFonts w:hint="eastAsia" w:ascii="仿宋_GB2312" w:hAnsi="仿宋" w:eastAsia="仿宋_GB2312"/>
          <w:color w:val="000000" w:themeColor="text1"/>
          <w:sz w:val="32"/>
          <w:szCs w:val="32"/>
        </w:rPr>
        <w:t>引导高新技术企业围绕市场需求和长远发展，高水平建设研发机构，健全研发投入、产品创新、科技成果转化的机制，持续开展研发创新活动，保持较高的科技创新水平。优先支持高新技术企业和入库培育企业建设工程技术研究中心、企业技术中心等研发机构。（责任单位：区科委、区经委）</w:t>
      </w:r>
    </w:p>
    <w:p>
      <w:pPr>
        <w:ind w:firstLine="643" w:firstLineChars="200"/>
        <w:contextualSpacing/>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2.推动创新人才集聚。</w:t>
      </w:r>
      <w:r>
        <w:rPr>
          <w:rFonts w:hint="eastAsia" w:ascii="仿宋_GB2312" w:hAnsi="仿宋" w:eastAsia="仿宋_GB2312"/>
          <w:color w:val="000000" w:themeColor="text1"/>
          <w:sz w:val="32"/>
          <w:szCs w:val="32"/>
        </w:rPr>
        <w:t>聚焦高新技术企业创新发展需求，加强企业院士工作站等人才载体建设，鼓励高校、科研院所高层次人才到高新技术企业和入库培育企业任职或兼职。全面落实区级各类人才政策，通过人才引进、人才培养、住房保障、子女就学、健康保健、荣誉奖励等多方面的政策支持，推动创新人才向高新技术企业集聚。（责任单位：区科委、区委组织部、区人社局）</w:t>
      </w:r>
    </w:p>
    <w:p>
      <w:pPr>
        <w:ind w:firstLine="643" w:firstLineChars="200"/>
        <w:contextualSpacing/>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3.强化知识产权创造和保护。</w:t>
      </w:r>
      <w:r>
        <w:rPr>
          <w:rFonts w:hint="eastAsia" w:ascii="仿宋_GB2312" w:hAnsi="仿宋" w:eastAsia="仿宋_GB2312"/>
          <w:color w:val="000000" w:themeColor="text1"/>
          <w:sz w:val="32"/>
          <w:szCs w:val="32"/>
        </w:rPr>
        <w:t>鼓励和支持企业开展知识产权创造，在本区高新技术企业和专利工作试点、示范企业及知识产权试点、示范园区中逐步建立知识产权工作机构，具体实施企业知识产权创造、保护和运用工作。加大知识产权保护力度，完善知识产权维权援助工作体系，对高新技术企业和入库培育企业知识产权维权给予重点支持。加大知识产权培训力度，提高高新技术企业和入库培育企业知识产权制度运用能力。（责任单位：区市场监管局）</w:t>
      </w:r>
    </w:p>
    <w:p>
      <w:pPr>
        <w:ind w:firstLine="607" w:firstLineChars="189"/>
        <w:contextualSpacing/>
        <w:rPr>
          <w:rFonts w:ascii="仿宋_GB2312" w:hAnsi="仿宋" w:eastAsia="仿宋_GB2312"/>
          <w:color w:val="000000" w:themeColor="text1"/>
          <w:sz w:val="32"/>
          <w:szCs w:val="32"/>
        </w:rPr>
      </w:pPr>
      <w:r>
        <w:rPr>
          <w:rFonts w:hint="eastAsia" w:ascii="楷体_GB2312" w:hAnsi="仿宋" w:eastAsia="楷体_GB2312"/>
          <w:b/>
          <w:color w:val="000000" w:themeColor="text1"/>
          <w:sz w:val="32"/>
          <w:szCs w:val="32"/>
        </w:rPr>
        <w:t>（四）优化发展环境</w:t>
      </w:r>
    </w:p>
    <w:p>
      <w:pPr>
        <w:ind w:firstLine="607" w:firstLineChars="189"/>
        <w:contextualSpacing/>
        <w:rPr>
          <w:rFonts w:ascii="仿宋_GB2312" w:hAnsi="仿宋" w:eastAsia="仿宋_GB2312"/>
          <w:color w:val="000000" w:themeColor="text1"/>
          <w:sz w:val="32"/>
          <w:szCs w:val="32"/>
          <w:shd w:val="clear" w:color="auto" w:fill="FFFFFF"/>
        </w:rPr>
      </w:pPr>
      <w:r>
        <w:rPr>
          <w:rFonts w:hint="eastAsia" w:ascii="仿宋_GB2312" w:hAnsi="仿宋" w:eastAsia="仿宋_GB2312"/>
          <w:b/>
          <w:color w:val="000000" w:themeColor="text1"/>
          <w:sz w:val="32"/>
          <w:szCs w:val="32"/>
        </w:rPr>
        <w:t>1.加强政策宣传。</w:t>
      </w:r>
      <w:r>
        <w:rPr>
          <w:rFonts w:hint="eastAsia" w:ascii="仿宋_GB2312" w:hAnsi="仿宋" w:eastAsia="仿宋_GB2312"/>
          <w:color w:val="000000" w:themeColor="text1"/>
          <w:sz w:val="32"/>
          <w:szCs w:val="32"/>
          <w:shd w:val="clear" w:color="auto" w:fill="FFFFFF"/>
        </w:rPr>
        <w:t>加大政策普及力度，</w:t>
      </w:r>
      <w:r>
        <w:rPr>
          <w:rFonts w:hint="eastAsia" w:ascii="仿宋_GB2312" w:hAnsi="仿宋" w:eastAsia="仿宋_GB2312"/>
          <w:color w:val="000000" w:themeColor="text1"/>
          <w:sz w:val="32"/>
          <w:szCs w:val="32"/>
        </w:rPr>
        <w:t>扩大覆盖面和知晓率，</w:t>
      </w:r>
      <w:r>
        <w:rPr>
          <w:rFonts w:hint="eastAsia" w:ascii="仿宋_GB2312" w:hAnsi="仿宋" w:eastAsia="仿宋_GB2312"/>
          <w:color w:val="000000" w:themeColor="text1"/>
          <w:sz w:val="32"/>
          <w:szCs w:val="32"/>
          <w:shd w:val="clear" w:color="auto" w:fill="FFFFFF"/>
        </w:rPr>
        <w:t>帮助企业熟悉掌握高新技术企业申报要点，规范企业科研项目管理，提升企业科技创新意识，引导企业加强知识产权管理和科技成果转化。加强对高新技术企业和入库培育企业发展核心指标的统计和共享，确保数据真实有效地反映本区高新技术企业发展的质量水平。</w:t>
      </w:r>
      <w:r>
        <w:rPr>
          <w:rFonts w:hint="eastAsia" w:ascii="仿宋_GB2312" w:hAnsi="仿宋" w:eastAsia="仿宋_GB2312"/>
          <w:color w:val="000000" w:themeColor="text1"/>
          <w:sz w:val="32"/>
          <w:szCs w:val="32"/>
        </w:rPr>
        <w:t>（责任单位：区科委、区税务局、区统计局、各街镇）</w:t>
      </w:r>
    </w:p>
    <w:p>
      <w:pPr>
        <w:ind w:firstLine="607" w:firstLineChars="189"/>
        <w:contextualSpacing/>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shd w:val="clear" w:color="auto" w:fill="FFFFFF"/>
        </w:rPr>
        <w:t>2.优化认定服务。</w:t>
      </w:r>
      <w:r>
        <w:rPr>
          <w:rFonts w:hint="eastAsia" w:ascii="仿宋_GB2312" w:hAnsi="仿宋" w:eastAsia="仿宋_GB2312"/>
          <w:color w:val="000000" w:themeColor="text1"/>
          <w:sz w:val="32"/>
          <w:szCs w:val="32"/>
          <w:shd w:val="clear" w:color="auto" w:fill="FFFFFF"/>
        </w:rPr>
        <w:t>简化认定推荐工作流程，按照政务服务“一网通办”和企业群众办事“只进一扇门”“最多跑一次”的要求，在高新技术企业认定推荐过程中，着力减表格、减环节、减时间，做到放开申报、即时受理、每月推荐，对企业在申报过程中遇到的各类问题，及时答复，及时解决。</w:t>
      </w:r>
      <w:r>
        <w:rPr>
          <w:rFonts w:hint="eastAsia" w:ascii="仿宋_GB2312" w:hAnsi="仿宋" w:eastAsia="仿宋_GB2312"/>
          <w:color w:val="000000" w:themeColor="text1"/>
          <w:sz w:val="32"/>
          <w:szCs w:val="32"/>
        </w:rPr>
        <w:t>（责任单位：区科委、区行政服务中心）</w:t>
      </w:r>
    </w:p>
    <w:p>
      <w:pPr>
        <w:ind w:firstLine="607" w:firstLineChars="189"/>
        <w:contextualSpacing/>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3.强化金融服务保障。</w:t>
      </w:r>
      <w:r>
        <w:rPr>
          <w:rFonts w:hint="eastAsia" w:ascii="仿宋_GB2312" w:hAnsi="仿宋" w:eastAsia="仿宋_GB2312"/>
          <w:color w:val="000000" w:themeColor="text1"/>
          <w:sz w:val="32"/>
          <w:szCs w:val="32"/>
        </w:rPr>
        <w:t>以“国家产融合作试点城市（区）”建设为契机，建立和完善高新技术企业信息与金融机构的对接机制，积极引导社会资本投入高新技术企业。扩大嘉定创投等政府投资引导基金规模，通过贷款贴息、风险补偿等方式进一步放大财政引导资金的杠杆效应。加强高新技术企业上市服务，构建多元化、多层次、多渠道的科技投融资体系。（牵头单位：区商务委、区国资公司）</w:t>
      </w:r>
    </w:p>
    <w:p>
      <w:pPr>
        <w:ind w:firstLine="604" w:firstLineChars="189"/>
        <w:contextualSpacing/>
        <w:rPr>
          <w:rFonts w:ascii="仿宋_GB2312" w:hAnsi="仿宋" w:eastAsia="仿宋_GB2312"/>
          <w:color w:val="000000" w:themeColor="text1"/>
          <w:sz w:val="32"/>
          <w:szCs w:val="32"/>
        </w:rPr>
      </w:pPr>
      <w:r>
        <w:rPr>
          <w:rFonts w:hint="eastAsia" w:ascii="黑体" w:hAnsi="黑体" w:eastAsia="黑体"/>
          <w:color w:val="000000" w:themeColor="text1"/>
          <w:sz w:val="32"/>
          <w:szCs w:val="32"/>
        </w:rPr>
        <w:t>三、组织保障</w:t>
      </w:r>
    </w:p>
    <w:p>
      <w:pPr>
        <w:ind w:firstLine="607" w:firstLineChars="189"/>
        <w:contextualSpacing/>
        <w:rPr>
          <w:rFonts w:ascii="仿宋_GB2312" w:hAnsi="仿宋" w:eastAsia="仿宋_GB2312"/>
          <w:color w:val="000000" w:themeColor="text1"/>
          <w:sz w:val="32"/>
          <w:szCs w:val="32"/>
        </w:rPr>
      </w:pPr>
      <w:r>
        <w:rPr>
          <w:rFonts w:hint="eastAsia" w:ascii="楷体_GB2312" w:hAnsi="仿宋" w:eastAsia="楷体_GB2312"/>
          <w:b/>
          <w:color w:val="000000" w:themeColor="text1"/>
          <w:sz w:val="32"/>
          <w:szCs w:val="32"/>
        </w:rPr>
        <w:t>1.强化责任落实。</w:t>
      </w:r>
      <w:r>
        <w:rPr>
          <w:rFonts w:hint="eastAsia" w:ascii="仿宋_GB2312" w:hAnsi="仿宋" w:eastAsia="仿宋_GB2312"/>
          <w:color w:val="000000" w:themeColor="text1"/>
          <w:sz w:val="32"/>
          <w:szCs w:val="32"/>
        </w:rPr>
        <w:t>区科委要加强统筹协调，建立健全工作机制，细化分解街镇年度培育发展指标，压实高新技术企业认定任务。各街镇应充分认识促进高新技术企业发展的重要意义，把培育发展高新技术企业纳入重要议事日程，明确工作目标，落实服务机构，做到上下联动，协同推进，为高新技术企业发展提供专业、高效的服务。（牵头单位：区科委、各街镇）</w:t>
      </w:r>
    </w:p>
    <w:p>
      <w:pPr>
        <w:ind w:firstLine="607" w:firstLineChars="189"/>
        <w:contextualSpacing/>
        <w:rPr>
          <w:rFonts w:ascii="仿宋_GB2312" w:hAnsi="仿宋" w:eastAsia="仿宋_GB2312"/>
          <w:color w:val="000000" w:themeColor="text1"/>
          <w:sz w:val="32"/>
          <w:szCs w:val="32"/>
        </w:rPr>
      </w:pPr>
      <w:r>
        <w:rPr>
          <w:rFonts w:hint="eastAsia" w:ascii="楷体_GB2312" w:hAnsi="仿宋" w:eastAsia="楷体_GB2312"/>
          <w:b/>
          <w:color w:val="000000" w:themeColor="text1"/>
          <w:sz w:val="32"/>
          <w:szCs w:val="32"/>
        </w:rPr>
        <w:t>2.加强经费保障。</w:t>
      </w:r>
      <w:r>
        <w:rPr>
          <w:rFonts w:hint="eastAsia" w:ascii="仿宋_GB2312" w:hAnsi="仿宋" w:eastAsia="仿宋_GB2312"/>
          <w:color w:val="000000" w:themeColor="text1"/>
          <w:sz w:val="32"/>
          <w:szCs w:val="32"/>
        </w:rPr>
        <w:t>落实高新技术企业财政扶持，对市科委认定的入库培育企业和首次认定、重新认定的高新技术企业给予资金资助。入库培育企业资助资金由街镇财政先行拨付，区级负担部分区本级和街镇按照财政体制承担，市级和区本级负担部分通过专项转移支付下达。首次认定和重新认定资助资金原则上由区镇两级按现行财政体制承担，由区级财政先行拨付，年底与各街镇财力结算。张江</w:t>
      </w:r>
      <w:r>
        <w:rPr>
          <w:rFonts w:hint="eastAsia" w:ascii="仿宋_GB2312" w:hAnsi="Calibri" w:eastAsia="仿宋_GB2312" w:cs="Times New Roman"/>
          <w:color w:val="000000" w:themeColor="text1"/>
          <w:sz w:val="32"/>
          <w:szCs w:val="32"/>
        </w:rPr>
        <w:t>国家自主创新示范区嘉定园内高新技术企业资助资金按照张江专项发展资金管理办法及现行资助方式执行。</w:t>
      </w:r>
      <w:r>
        <w:rPr>
          <w:rFonts w:hint="eastAsia" w:ascii="仿宋_GB2312" w:hAnsi="仿宋" w:eastAsia="仿宋_GB2312"/>
          <w:color w:val="000000" w:themeColor="text1"/>
          <w:sz w:val="32"/>
          <w:szCs w:val="32"/>
        </w:rPr>
        <w:t>（牵头单位：区财政局、各街镇）</w:t>
      </w:r>
    </w:p>
    <w:p>
      <w:pPr>
        <w:ind w:firstLine="607" w:firstLineChars="189"/>
        <w:contextualSpacing/>
        <w:rPr>
          <w:rFonts w:ascii="仿宋_GB2312" w:hAnsi="仿宋" w:eastAsia="仿宋_GB2312"/>
          <w:color w:val="000000" w:themeColor="text1"/>
          <w:sz w:val="32"/>
          <w:szCs w:val="32"/>
        </w:rPr>
      </w:pPr>
      <w:r>
        <w:rPr>
          <w:rFonts w:hint="eastAsia" w:ascii="楷体_GB2312" w:hAnsi="仿宋" w:eastAsia="楷体_GB2312"/>
          <w:b/>
          <w:color w:val="000000" w:themeColor="text1"/>
          <w:sz w:val="32"/>
          <w:szCs w:val="32"/>
        </w:rPr>
        <w:t>3.加强统计考核。</w:t>
      </w:r>
      <w:r>
        <w:rPr>
          <w:rFonts w:hint="eastAsia" w:ascii="仿宋_GB2312" w:hAnsi="仿宋" w:eastAsia="仿宋_GB2312"/>
          <w:color w:val="000000" w:themeColor="text1"/>
          <w:sz w:val="32"/>
          <w:szCs w:val="32"/>
        </w:rPr>
        <w:t>优化街镇科技创新考核评价指标体系，提高高新技术企业认定增长数在各街镇年度绩效考核中的占比。</w:t>
      </w:r>
      <w:r>
        <w:rPr>
          <w:rFonts w:hint="eastAsia" w:ascii="仿宋_GB2312" w:eastAsia="仿宋_GB2312"/>
          <w:sz w:val="32"/>
          <w:szCs w:val="32"/>
        </w:rPr>
        <w:t>建立高新技术企业动态监测机制,加强对高新技术企业和高新技术产业的统计工作,及时对高新技术企业和高新技术产业发展状况进行跟踪、分析和通报。</w:t>
      </w:r>
      <w:r>
        <w:rPr>
          <w:rFonts w:hint="eastAsia" w:ascii="仿宋_GB2312" w:hAnsi="仿宋" w:eastAsia="仿宋_GB2312"/>
          <w:color w:val="000000" w:themeColor="text1"/>
          <w:sz w:val="32"/>
          <w:szCs w:val="32"/>
        </w:rPr>
        <w:t>（牵头单位：区科委、区委政研室、区统计局）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6687970"/>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9AC"/>
    <w:rsid w:val="000368F8"/>
    <w:rsid w:val="00050505"/>
    <w:rsid w:val="00052C3A"/>
    <w:rsid w:val="0005618A"/>
    <w:rsid w:val="000630A7"/>
    <w:rsid w:val="00063A0B"/>
    <w:rsid w:val="0009445A"/>
    <w:rsid w:val="000A6CC4"/>
    <w:rsid w:val="000C3E35"/>
    <w:rsid w:val="00106786"/>
    <w:rsid w:val="0014063E"/>
    <w:rsid w:val="0014489B"/>
    <w:rsid w:val="00166C52"/>
    <w:rsid w:val="00180DCC"/>
    <w:rsid w:val="001D39D7"/>
    <w:rsid w:val="001E1E41"/>
    <w:rsid w:val="00205C96"/>
    <w:rsid w:val="00214330"/>
    <w:rsid w:val="00216FE6"/>
    <w:rsid w:val="00217D43"/>
    <w:rsid w:val="00220626"/>
    <w:rsid w:val="00222DA0"/>
    <w:rsid w:val="00255CE3"/>
    <w:rsid w:val="002561CB"/>
    <w:rsid w:val="002A1818"/>
    <w:rsid w:val="002B3DDC"/>
    <w:rsid w:val="00310E27"/>
    <w:rsid w:val="003233A1"/>
    <w:rsid w:val="003268F3"/>
    <w:rsid w:val="003436D9"/>
    <w:rsid w:val="003C6BBA"/>
    <w:rsid w:val="003E058F"/>
    <w:rsid w:val="003E63F6"/>
    <w:rsid w:val="00412B1B"/>
    <w:rsid w:val="00413E7C"/>
    <w:rsid w:val="00440719"/>
    <w:rsid w:val="0045121B"/>
    <w:rsid w:val="00497C22"/>
    <w:rsid w:val="004E3D90"/>
    <w:rsid w:val="00551246"/>
    <w:rsid w:val="00572392"/>
    <w:rsid w:val="00592E64"/>
    <w:rsid w:val="005D109E"/>
    <w:rsid w:val="006169AC"/>
    <w:rsid w:val="0063545A"/>
    <w:rsid w:val="006431E5"/>
    <w:rsid w:val="006532AC"/>
    <w:rsid w:val="0069202D"/>
    <w:rsid w:val="006D7DA8"/>
    <w:rsid w:val="006E6D63"/>
    <w:rsid w:val="00702D7F"/>
    <w:rsid w:val="00715CE2"/>
    <w:rsid w:val="00765E41"/>
    <w:rsid w:val="007D586F"/>
    <w:rsid w:val="007E17E3"/>
    <w:rsid w:val="0083222D"/>
    <w:rsid w:val="008B08F1"/>
    <w:rsid w:val="008C2D4C"/>
    <w:rsid w:val="008E724C"/>
    <w:rsid w:val="008F3746"/>
    <w:rsid w:val="00905EBF"/>
    <w:rsid w:val="00917631"/>
    <w:rsid w:val="0099751B"/>
    <w:rsid w:val="009D36BC"/>
    <w:rsid w:val="009D6B9C"/>
    <w:rsid w:val="009E7A5B"/>
    <w:rsid w:val="009F0A67"/>
    <w:rsid w:val="00A0290C"/>
    <w:rsid w:val="00A05DF8"/>
    <w:rsid w:val="00A10527"/>
    <w:rsid w:val="00A178D0"/>
    <w:rsid w:val="00A67345"/>
    <w:rsid w:val="00A81C9D"/>
    <w:rsid w:val="00AB58E1"/>
    <w:rsid w:val="00AD6EF6"/>
    <w:rsid w:val="00AE4BC8"/>
    <w:rsid w:val="00B2330A"/>
    <w:rsid w:val="00B45303"/>
    <w:rsid w:val="00B9260F"/>
    <w:rsid w:val="00BB11D4"/>
    <w:rsid w:val="00BF33B1"/>
    <w:rsid w:val="00C06092"/>
    <w:rsid w:val="00C104F7"/>
    <w:rsid w:val="00C40B4F"/>
    <w:rsid w:val="00C973A8"/>
    <w:rsid w:val="00CF6679"/>
    <w:rsid w:val="00D16DBF"/>
    <w:rsid w:val="00D566C9"/>
    <w:rsid w:val="00DC6F5A"/>
    <w:rsid w:val="00DD4208"/>
    <w:rsid w:val="00E0552C"/>
    <w:rsid w:val="00E81147"/>
    <w:rsid w:val="00EB032A"/>
    <w:rsid w:val="00ED6402"/>
    <w:rsid w:val="00F25EB8"/>
    <w:rsid w:val="00F414EC"/>
    <w:rsid w:val="00F77FC4"/>
    <w:rsid w:val="00FC39FA"/>
    <w:rsid w:val="00FD4702"/>
    <w:rsid w:val="00FE3E6B"/>
    <w:rsid w:val="00FE75C4"/>
    <w:rsid w:val="00FF5694"/>
    <w:rsid w:val="1F6B3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List Paragraph"/>
    <w:basedOn w:val="1"/>
    <w:qFormat/>
    <w:uiPriority w:val="34"/>
    <w:pPr>
      <w:ind w:firstLine="420" w:firstLineChars="200"/>
    </w:p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7C8324-C418-44FB-A2CB-9C45990171B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538</Words>
  <Characters>3071</Characters>
  <Lines>25</Lines>
  <Paragraphs>7</Paragraphs>
  <ScaleCrop>false</ScaleCrop>
  <LinksUpToDate>false</LinksUpToDate>
  <CharactersWithSpaces>3602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2020-07-20T07:25:00Z</dcterms:created>
  <dc:creator>周健</dc:creator>
  <cp:lastModifiedBy>ntko</cp:lastModifiedBy>
  <cp:lastPrinted>2020-07-15T05:50:00Z</cp:lastPrinted>
  <dcterms:modified xsi:type="dcterms:W3CDTF">2020-09-28T03:53:09Z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