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创新资金区级配套申请步骤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打开浏览器输出网址：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instrText xml:space="preserve"> HYPERLINK "http://scq.jiading.gov.cn/" </w:instrTex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http://scq.jiading.gov.cn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end"/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企业注册或登录长三角科技双创券服务平台（（已有账号可直接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登录）</w:t>
      </w:r>
    </w:p>
    <w:p>
      <w:pPr>
        <w:numPr>
          <w:numId w:val="0"/>
        </w:numPr>
      </w:pPr>
      <w:bookmarkStart w:id="0" w:name="_GoBack"/>
      <w:bookmarkEnd w:id="0"/>
    </w:p>
    <w:p>
      <w:pPr>
        <w:numPr>
          <w:numId w:val="0"/>
        </w:numPr>
      </w:pPr>
    </w:p>
    <w:p>
      <w:pPr>
        <w:numPr>
          <w:numId w:val="0"/>
        </w:numPr>
      </w:pPr>
      <w:r>
        <w:drawing>
          <wp:inline distT="0" distB="0" distL="114300" distR="114300">
            <wp:extent cx="3966210" cy="941070"/>
            <wp:effectExtent l="0" t="0" r="152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24738" b="40024"/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注册登陆完成点击申领→中小微企业申领→创新资金申领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019550" cy="904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076065" cy="1966595"/>
            <wp:effectExtent l="0" t="0" r="63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5606" t="969" r="17000" b="-969"/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根据表单内容，填报企业基本信息、银行账号、上传附件内容（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>注：若统一社会信用代码已存在，请联系系统管理管理员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5、管理员电话021-59520670（例如：账号密码找回、注册帮助、操作指引等）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6A13"/>
    <w:multiLevelType w:val="singleLevel"/>
    <w:tmpl w:val="3DE06A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662AD"/>
    <w:rsid w:val="43A5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41405</dc:creator>
  <cp:lastModifiedBy>So  °</cp:lastModifiedBy>
  <dcterms:modified xsi:type="dcterms:W3CDTF">2020-11-12T01:24:53Z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