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sz w:val="44"/>
          <w:szCs w:val="44"/>
          <w:highlight w:val="none"/>
          <w:lang w:val="en-US" w:eastAsia="zh-CN"/>
        </w:rPr>
      </w:pPr>
      <w:r>
        <w:rPr>
          <w:rFonts w:hint="eastAsia" w:ascii="方正小标宋简体" w:hAnsi="方正小标宋简体" w:eastAsia="方正小标宋简体"/>
          <w:sz w:val="44"/>
          <w:szCs w:val="44"/>
          <w:highlight w:val="none"/>
          <w:lang w:val="en-US" w:eastAsia="zh-CN"/>
        </w:rPr>
        <w:t>关于开展嘉定区疫情期间企业防疫费用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sz w:val="36"/>
          <w:szCs w:val="40"/>
          <w:highlight w:val="none"/>
          <w:lang w:val="en-US" w:eastAsia="zh-CN"/>
        </w:rPr>
      </w:pPr>
      <w:r>
        <w:rPr>
          <w:rFonts w:hint="eastAsia" w:ascii="方正小标宋简体" w:hAnsi="方正小标宋简体" w:eastAsia="方正小标宋简体"/>
          <w:sz w:val="44"/>
          <w:szCs w:val="44"/>
          <w:highlight w:val="none"/>
          <w:lang w:val="en-US" w:eastAsia="zh-CN"/>
        </w:rPr>
        <w:t>补贴扶持项目申报的通知</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为贯彻落实《关于“助企纾困、助长消费、助力就业”的若干产业扶持政策》（嘉府规[2022]3号），帮助企业加强应对疫情，现就开展本区疫情期间企业防疫费用补贴扶持项目申报工作的有关事项通知如下：</w:t>
      </w:r>
    </w:p>
    <w:p>
      <w:pPr>
        <w:keepNext w:val="0"/>
        <w:keepLines w:val="0"/>
        <w:widowControl w:val="0"/>
        <w:numPr>
          <w:ilvl w:val="0"/>
          <w:numId w:val="0"/>
        </w:numPr>
        <w:suppressLineNumbers w:val="0"/>
        <w:kinsoku/>
        <w:wordWrap/>
        <w:overflowPunct/>
        <w:topLinePunct w:val="0"/>
        <w:autoSpaceDE w:val="0"/>
        <w:autoSpaceDN/>
        <w:bidi w:val="0"/>
        <w:spacing w:beforeAutospacing="0" w:afterAutospacing="0" w:line="560" w:lineRule="atLeast"/>
        <w:ind w:right="0" w:rightChars="0" w:firstLine="640" w:firstLineChars="200"/>
        <w:jc w:val="left"/>
        <w:rPr>
          <w:rFonts w:hint="eastAsia" w:ascii="黑体" w:hAnsi="黑体" w:eastAsia="黑体" w:cs="黑体"/>
          <w:b w:val="0"/>
          <w:bCs w:val="0"/>
          <w:kern w:val="2"/>
          <w:sz w:val="32"/>
          <w:szCs w:val="32"/>
          <w:highlight w:val="none"/>
        </w:rPr>
      </w:pPr>
      <w:r>
        <w:rPr>
          <w:rFonts w:hint="eastAsia" w:ascii="黑体" w:hAnsi="黑体" w:eastAsia="黑体" w:cs="黑体"/>
          <w:b w:val="0"/>
          <w:bCs w:val="0"/>
          <w:kern w:val="2"/>
          <w:sz w:val="32"/>
          <w:szCs w:val="32"/>
          <w:highlight w:val="none"/>
          <w:lang w:val="en-US" w:eastAsia="zh-CN" w:bidi="ar"/>
        </w:rPr>
        <w:t>一、扶持对象与范围</w:t>
      </w:r>
    </w:p>
    <w:p>
      <w:pPr>
        <w:pStyle w:val="2"/>
        <w:rPr>
          <w:rFonts w:hint="default" w:ascii="仿宋_GB2312" w:hAnsi="仿宋_GB2312" w:eastAsia="仿宋_GB2312" w:cs="仿宋_GB2312"/>
          <w:color w:val="FF0000"/>
          <w:sz w:val="32"/>
          <w:szCs w:val="32"/>
          <w:highlight w:val="none"/>
        </w:rPr>
      </w:pPr>
      <w:r>
        <w:rPr>
          <w:rFonts w:hint="default" w:ascii="仿宋_GB2312" w:hAnsi="Calibri" w:eastAsia="仿宋_GB2312" w:cs="仿宋_GB2312"/>
          <w:kern w:val="2"/>
          <w:sz w:val="32"/>
          <w:szCs w:val="32"/>
          <w:highlight w:val="none"/>
          <w:lang w:val="en-US" w:eastAsia="zh-CN" w:bidi="ar"/>
        </w:rPr>
        <w:t>（1）2022年3月1日至5月31日期间，本区工业、商</w:t>
      </w:r>
      <w:r>
        <w:rPr>
          <w:rFonts w:hint="default" w:ascii="仿宋_GB2312" w:hAnsi="Calibri" w:eastAsia="仿宋_GB2312" w:cs="仿宋_GB2312"/>
          <w:kern w:val="2"/>
          <w:sz w:val="32"/>
          <w:szCs w:val="32"/>
          <w:highlight w:val="none"/>
          <w:lang w:eastAsia="zh-CN" w:bidi="ar"/>
        </w:rPr>
        <w:t>业、</w:t>
      </w:r>
      <w:r>
        <w:rPr>
          <w:rFonts w:hint="default" w:ascii="仿宋_GB2312" w:hAnsi="Calibri" w:eastAsia="仿宋_GB2312" w:cs="仿宋_GB2312"/>
          <w:kern w:val="2"/>
          <w:sz w:val="32"/>
          <w:szCs w:val="32"/>
          <w:highlight w:val="none"/>
          <w:lang w:val="en-US" w:eastAsia="zh-CN" w:bidi="ar"/>
        </w:rPr>
        <w:t>服务业和软件信息服务业的复工复产复市企业</w:t>
      </w:r>
      <w:r>
        <w:rPr>
          <w:rFonts w:hint="default" w:hAnsi="Calibri" w:eastAsia="仿宋_GB2312" w:cs="仿宋_GB2312"/>
          <w:kern w:val="2"/>
          <w:sz w:val="32"/>
          <w:szCs w:val="32"/>
          <w:highlight w:val="none"/>
          <w:lang w:eastAsia="zh-CN" w:bidi="ar"/>
        </w:rPr>
        <w:t>；以及</w:t>
      </w:r>
      <w:r>
        <w:rPr>
          <w:rFonts w:hint="default" w:ascii="仿宋_GB2312" w:hAnsi="Calibri" w:eastAsia="仿宋_GB2312" w:cs="仿宋_GB2312"/>
          <w:color w:val="000000"/>
          <w:kern w:val="2"/>
          <w:sz w:val="32"/>
          <w:szCs w:val="32"/>
          <w:highlight w:val="none"/>
          <w:lang w:val="en-US" w:eastAsia="zh-CN" w:bidi="ar"/>
        </w:rPr>
        <w:t>本区商贸</w:t>
      </w:r>
      <w:r>
        <w:rPr>
          <w:rFonts w:hint="default" w:hAnsi="Calibri" w:eastAsia="仿宋_GB2312" w:cs="仿宋_GB2312"/>
          <w:color w:val="000000"/>
          <w:kern w:val="2"/>
          <w:sz w:val="32"/>
          <w:szCs w:val="32"/>
          <w:highlight w:val="none"/>
          <w:lang w:eastAsia="zh-CN" w:bidi="ar"/>
        </w:rPr>
        <w:t>流通</w:t>
      </w:r>
      <w:r>
        <w:rPr>
          <w:rFonts w:hint="default" w:ascii="仿宋_GB2312" w:hAnsi="Calibri" w:eastAsia="仿宋_GB2312" w:cs="仿宋_GB2312"/>
          <w:color w:val="000000"/>
          <w:kern w:val="2"/>
          <w:sz w:val="32"/>
          <w:szCs w:val="32"/>
          <w:highlight w:val="none"/>
          <w:lang w:val="en-US" w:eastAsia="zh-CN" w:bidi="ar"/>
        </w:rPr>
        <w:t>复</w:t>
      </w:r>
      <w:r>
        <w:rPr>
          <w:rFonts w:hint="default" w:hAnsi="Calibri" w:eastAsia="仿宋_GB2312" w:cs="仿宋_GB2312"/>
          <w:color w:val="000000"/>
          <w:kern w:val="2"/>
          <w:sz w:val="32"/>
          <w:szCs w:val="32"/>
          <w:highlight w:val="none"/>
          <w:lang w:eastAsia="zh-CN" w:bidi="ar"/>
        </w:rPr>
        <w:t>商</w:t>
      </w:r>
      <w:r>
        <w:rPr>
          <w:rFonts w:hint="default" w:ascii="仿宋_GB2312" w:hAnsi="Calibri" w:eastAsia="仿宋_GB2312" w:cs="仿宋_GB2312"/>
          <w:color w:val="000000"/>
          <w:kern w:val="2"/>
          <w:sz w:val="32"/>
          <w:szCs w:val="32"/>
          <w:highlight w:val="none"/>
          <w:lang w:val="en-US" w:eastAsia="zh-CN" w:bidi="ar"/>
        </w:rPr>
        <w:t>复市企业</w:t>
      </w:r>
      <w:r>
        <w:rPr>
          <w:rFonts w:hint="default" w:hAnsi="Calibri" w:eastAsia="仿宋_GB2312" w:cs="仿宋_GB2312"/>
          <w:color w:val="000000"/>
          <w:kern w:val="2"/>
          <w:sz w:val="32"/>
          <w:szCs w:val="32"/>
          <w:highlight w:val="none"/>
          <w:lang w:eastAsia="zh-CN" w:bidi="ar"/>
        </w:rPr>
        <w:t>，含</w:t>
      </w:r>
      <w:r>
        <w:rPr>
          <w:rFonts w:hint="default" w:hAnsi="Calibri" w:eastAsia="仿宋_GB2312" w:cs="仿宋_GB2312"/>
          <w:color w:val="000000"/>
          <w:kern w:val="2"/>
          <w:sz w:val="32"/>
          <w:szCs w:val="32"/>
          <w:highlight w:val="none"/>
          <w:rtl w:val="0"/>
          <w:cs w:val="0"/>
          <w:lang w:eastAsia="zh-CN" w:bidi="ar"/>
        </w:rPr>
        <w:t>1</w:t>
      </w:r>
      <w:r>
        <w:rPr>
          <w:rFonts w:hint="default" w:hAnsi="Calibri" w:eastAsia="仿宋_GB2312" w:cs="仿宋_GB2312"/>
          <w:color w:val="000000"/>
          <w:kern w:val="2"/>
          <w:sz w:val="32"/>
          <w:szCs w:val="32"/>
          <w:highlight w:val="none"/>
          <w:lang w:eastAsia="zh-CN" w:bidi="ar"/>
        </w:rPr>
        <w:t>万</w:t>
      </w:r>
      <w:r>
        <w:rPr>
          <w:rFonts w:hint="eastAsia" w:hAnsi="Calibri" w:eastAsia="仿宋_GB2312" w:cs="仿宋_GB2312"/>
          <w:color w:val="000000"/>
          <w:kern w:val="2"/>
          <w:sz w:val="32"/>
          <w:szCs w:val="32"/>
          <w:highlight w:val="none"/>
          <w:lang w:eastAsia="zh-CN" w:bidi="ar"/>
        </w:rPr>
        <w:t>平方米</w:t>
      </w:r>
      <w:r>
        <w:rPr>
          <w:rFonts w:hint="default" w:hAnsi="Calibri" w:eastAsia="仿宋_GB2312" w:cs="仿宋_GB2312"/>
          <w:color w:val="000000"/>
          <w:kern w:val="2"/>
          <w:sz w:val="32"/>
          <w:szCs w:val="32"/>
          <w:highlight w:val="none"/>
          <w:lang w:eastAsia="zh-CN" w:bidi="ar"/>
        </w:rPr>
        <w:t>以上大型购物中心、1000</w:t>
      </w:r>
      <w:r>
        <w:rPr>
          <w:rFonts w:hint="eastAsia" w:hAnsi="Calibri" w:eastAsia="仿宋_GB2312" w:cs="仿宋_GB2312"/>
          <w:color w:val="000000"/>
          <w:kern w:val="2"/>
          <w:sz w:val="32"/>
          <w:szCs w:val="32"/>
          <w:highlight w:val="none"/>
          <w:lang w:eastAsia="zh-CN" w:bidi="ar"/>
        </w:rPr>
        <w:t>平方米</w:t>
      </w:r>
      <w:r>
        <w:rPr>
          <w:rFonts w:hint="default" w:hAnsi="Calibri" w:eastAsia="仿宋_GB2312" w:cs="仿宋_GB2312"/>
          <w:color w:val="000000"/>
          <w:kern w:val="2"/>
          <w:sz w:val="32"/>
          <w:szCs w:val="32"/>
          <w:highlight w:val="none"/>
          <w:lang w:eastAsia="zh-CN" w:bidi="ar"/>
        </w:rPr>
        <w:t>以上大型超市、标准化集贸市场及保供类批发市场等。</w:t>
      </w:r>
    </w:p>
    <w:p>
      <w:pPr>
        <w:keepNext w:val="0"/>
        <w:keepLines w:val="0"/>
        <w:widowControl w:val="0"/>
        <w:suppressLineNumbers w:val="0"/>
        <w:kinsoku/>
        <w:wordWrap/>
        <w:overflowPunct/>
        <w:topLinePunct w:val="0"/>
        <w:autoSpaceDE w:val="0"/>
        <w:autoSpaceDN/>
        <w:bidi w:val="0"/>
        <w:spacing w:beforeAutospacing="0" w:afterAutospacing="0" w:line="560" w:lineRule="atLeast"/>
        <w:ind w:left="0" w:leftChars="0" w:right="0" w:rightChars="0" w:firstLine="0" w:firstLineChars="0"/>
        <w:jc w:val="both"/>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 xml:space="preserve">    （</w:t>
      </w:r>
      <w:r>
        <w:rPr>
          <w:rFonts w:hint="default" w:ascii="仿宋_GB2312" w:hAnsi="Calibri" w:eastAsia="仿宋_GB2312" w:cs="仿宋_GB2312"/>
          <w:kern w:val="2"/>
          <w:sz w:val="32"/>
          <w:szCs w:val="32"/>
          <w:highlight w:val="none"/>
          <w:lang w:eastAsia="zh-CN" w:bidi="ar"/>
        </w:rPr>
        <w:t>2</w:t>
      </w:r>
      <w:r>
        <w:rPr>
          <w:rFonts w:hint="default" w:ascii="仿宋_GB2312" w:hAnsi="Calibri" w:eastAsia="仿宋_GB2312" w:cs="仿宋_GB2312"/>
          <w:kern w:val="2"/>
          <w:sz w:val="32"/>
          <w:szCs w:val="32"/>
          <w:highlight w:val="none"/>
          <w:lang w:val="en-US" w:eastAsia="zh-CN" w:bidi="ar"/>
        </w:rPr>
        <w:t>）</w:t>
      </w:r>
      <w:r>
        <w:rPr>
          <w:rFonts w:hint="eastAsia" w:ascii="仿宋_GB2312" w:hAnsi="仿宋_GB2312" w:eastAsia="仿宋_GB2312" w:cs="仿宋_GB2312"/>
          <w:kern w:val="2"/>
          <w:sz w:val="32"/>
          <w:szCs w:val="32"/>
          <w:highlight w:val="none"/>
          <w:lang w:val="en-US" w:eastAsia="zh-CN" w:bidi="ar"/>
        </w:rPr>
        <w:t>疫情防控期间开展封闭生产经营活动，并经区相关行业主管部门通过“一企一方案”审核的在库企业。</w:t>
      </w:r>
    </w:p>
    <w:p>
      <w:pPr>
        <w:keepNext w:val="0"/>
        <w:keepLines w:val="0"/>
        <w:widowControl w:val="0"/>
        <w:suppressLineNumbers w:val="0"/>
        <w:kinsoku/>
        <w:wordWrap/>
        <w:overflowPunct/>
        <w:topLinePunct w:val="0"/>
        <w:autoSpaceDN/>
        <w:bidi w:val="0"/>
        <w:spacing w:before="0" w:beforeAutospacing="0" w:after="0" w:afterAutospacing="0" w:line="560" w:lineRule="atLeast"/>
        <w:ind w:left="0" w:leftChars="0" w:right="0" w:rightChars="0" w:firstLine="640" w:firstLineChars="0"/>
        <w:jc w:val="both"/>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w:t>
      </w:r>
      <w:r>
        <w:rPr>
          <w:rFonts w:hint="default" w:ascii="仿宋_GB2312" w:hAnsi="Calibri" w:eastAsia="仿宋_GB2312" w:cs="仿宋_GB2312"/>
          <w:kern w:val="2"/>
          <w:sz w:val="32"/>
          <w:szCs w:val="32"/>
          <w:highlight w:val="none"/>
          <w:lang w:eastAsia="zh-CN" w:bidi="ar"/>
        </w:rPr>
        <w:t>3</w:t>
      </w:r>
      <w:r>
        <w:rPr>
          <w:rFonts w:hint="default" w:ascii="仿宋_GB2312" w:hAnsi="Calibri" w:eastAsia="仿宋_GB2312" w:cs="仿宋_GB2312"/>
          <w:kern w:val="2"/>
          <w:sz w:val="32"/>
          <w:szCs w:val="32"/>
          <w:highlight w:val="none"/>
          <w:lang w:val="en-US" w:eastAsia="zh-CN" w:bidi="ar"/>
        </w:rPr>
        <w:t>）发生的费用包括用于抗原检测试剂、防护口罩、消杀酒精、免洗洗手液、红外测温仪、热成像测温仪、防护服、防护眼镜、一次性医用手套等一般</w:t>
      </w:r>
      <w:r>
        <w:rPr>
          <w:rFonts w:hint="default" w:ascii="仿宋_GB2312" w:hAnsi="Calibri" w:eastAsia="仿宋_GB2312" w:cs="仿宋_GB2312"/>
          <w:kern w:val="2"/>
          <w:sz w:val="32"/>
          <w:szCs w:val="32"/>
          <w:highlight w:val="none"/>
          <w:lang w:eastAsia="zh-CN" w:bidi="ar"/>
        </w:rPr>
        <w:t>性</w:t>
      </w:r>
      <w:r>
        <w:rPr>
          <w:rFonts w:hint="default" w:ascii="仿宋_GB2312" w:hAnsi="Calibri" w:eastAsia="仿宋_GB2312" w:cs="仿宋_GB2312"/>
          <w:kern w:val="2"/>
          <w:sz w:val="32"/>
          <w:szCs w:val="32"/>
          <w:highlight w:val="none"/>
          <w:lang w:val="en-US" w:eastAsia="zh-CN" w:bidi="ar"/>
        </w:rPr>
        <w:t>防疫物资</w:t>
      </w:r>
      <w:r>
        <w:rPr>
          <w:rFonts w:hint="default" w:ascii="仿宋_GB2312" w:hAnsi="Calibri" w:eastAsia="仿宋_GB2312" w:cs="仿宋_GB2312"/>
          <w:kern w:val="2"/>
          <w:sz w:val="32"/>
          <w:szCs w:val="32"/>
          <w:highlight w:val="none"/>
          <w:lang w:eastAsia="zh-CN" w:bidi="ar"/>
        </w:rPr>
        <w:t>的采购</w:t>
      </w:r>
      <w:r>
        <w:rPr>
          <w:rFonts w:hint="default" w:ascii="仿宋_GB2312" w:hAnsi="Calibri" w:eastAsia="仿宋_GB2312" w:cs="仿宋_GB2312"/>
          <w:kern w:val="2"/>
          <w:sz w:val="32"/>
          <w:szCs w:val="32"/>
          <w:highlight w:val="none"/>
          <w:lang w:val="en-US" w:eastAsia="zh-CN" w:bidi="ar"/>
        </w:rPr>
        <w:t>支出</w:t>
      </w:r>
      <w:r>
        <w:rPr>
          <w:rFonts w:hint="default" w:ascii="仿宋_GB2312" w:hAnsi="Calibri" w:eastAsia="仿宋_GB2312" w:cs="仿宋_GB2312"/>
          <w:kern w:val="2"/>
          <w:sz w:val="32"/>
          <w:szCs w:val="32"/>
          <w:highlight w:val="none"/>
          <w:lang w:eastAsia="zh-CN" w:bidi="ar"/>
        </w:rPr>
        <w:t>；因疫情防控需要而发生的</w:t>
      </w:r>
      <w:r>
        <w:rPr>
          <w:rFonts w:hint="default" w:ascii="仿宋_GB2312" w:hAnsi="Calibri" w:eastAsia="仿宋_GB2312" w:cs="仿宋_GB2312"/>
          <w:kern w:val="2"/>
          <w:sz w:val="32"/>
          <w:szCs w:val="32"/>
          <w:highlight w:val="none"/>
          <w:lang w:val="en-US" w:eastAsia="zh-CN" w:bidi="ar"/>
        </w:rPr>
        <w:t>睡袋、帐篷</w:t>
      </w:r>
      <w:r>
        <w:rPr>
          <w:rFonts w:hint="default" w:ascii="仿宋_GB2312" w:hAnsi="Calibri" w:eastAsia="仿宋_GB2312" w:cs="仿宋_GB2312"/>
          <w:kern w:val="2"/>
          <w:sz w:val="32"/>
          <w:szCs w:val="32"/>
          <w:highlight w:val="none"/>
          <w:lang w:eastAsia="zh-CN" w:bidi="ar"/>
        </w:rPr>
        <w:t>等特殊物资采购和搭建</w:t>
      </w:r>
      <w:r>
        <w:rPr>
          <w:rFonts w:hint="default" w:ascii="仿宋_GB2312" w:hAnsi="Calibri" w:eastAsia="仿宋_GB2312" w:cs="仿宋_GB2312"/>
          <w:kern w:val="2"/>
          <w:sz w:val="32"/>
          <w:szCs w:val="32"/>
          <w:highlight w:val="none"/>
          <w:lang w:val="en-US" w:eastAsia="zh-CN" w:bidi="ar"/>
        </w:rPr>
        <w:t>隔离设施、</w:t>
      </w:r>
      <w:r>
        <w:rPr>
          <w:rFonts w:hint="default" w:ascii="仿宋_GB2312" w:hAnsi="Calibri" w:eastAsia="仿宋_GB2312" w:cs="仿宋_GB2312"/>
          <w:kern w:val="2"/>
          <w:sz w:val="32"/>
          <w:szCs w:val="32"/>
          <w:highlight w:val="none"/>
          <w:lang w:eastAsia="zh-CN" w:bidi="ar"/>
        </w:rPr>
        <w:t>临时性改建员工宿舍与</w:t>
      </w:r>
      <w:r>
        <w:rPr>
          <w:rFonts w:hint="default" w:ascii="仿宋_GB2312" w:hAnsi="Calibri" w:eastAsia="仿宋_GB2312" w:cs="仿宋_GB2312"/>
          <w:kern w:val="2"/>
          <w:sz w:val="32"/>
          <w:szCs w:val="32"/>
          <w:highlight w:val="none"/>
          <w:lang w:val="en-US" w:eastAsia="zh-CN" w:bidi="ar"/>
        </w:rPr>
        <w:t>盥洗室</w:t>
      </w:r>
      <w:r>
        <w:rPr>
          <w:rFonts w:hint="default" w:ascii="仿宋_GB2312" w:hAnsi="Calibri" w:eastAsia="仿宋_GB2312" w:cs="仿宋_GB2312"/>
          <w:kern w:val="2"/>
          <w:sz w:val="32"/>
          <w:szCs w:val="32"/>
          <w:highlight w:val="none"/>
          <w:lang w:eastAsia="zh-CN" w:bidi="ar"/>
        </w:rPr>
        <w:t>等方面的应急支出；</w:t>
      </w:r>
      <w:r>
        <w:rPr>
          <w:rFonts w:hint="default" w:ascii="仿宋_GB2312" w:hAnsi="Calibri" w:eastAsia="仿宋_GB2312" w:cs="仿宋_GB2312"/>
          <w:kern w:val="2"/>
          <w:sz w:val="32"/>
          <w:szCs w:val="32"/>
          <w:highlight w:val="none"/>
          <w:lang w:val="en-US" w:eastAsia="zh-CN" w:bidi="ar"/>
        </w:rPr>
        <w:t>第三方服务机构提供的环境消杀、核酸检测等服务支出。</w:t>
      </w:r>
      <w:r>
        <w:rPr>
          <w:rFonts w:hint="default" w:ascii="仿宋_GB2312" w:hAnsi="仿宋_GB2312" w:eastAsia="仿宋_GB2312" w:cs="仿宋_GB2312"/>
          <w:kern w:val="2"/>
          <w:sz w:val="32"/>
          <w:szCs w:val="32"/>
          <w:highlight w:val="none"/>
          <w:lang w:val="en-US" w:eastAsia="zh-CN" w:bidi="ar"/>
        </w:rPr>
        <w:t>但不包括牙膏、牙刷、毛巾等日常生活物资采购支出。</w:t>
      </w:r>
    </w:p>
    <w:p>
      <w:pPr>
        <w:keepNext w:val="0"/>
        <w:keepLines w:val="0"/>
        <w:widowControl w:val="0"/>
        <w:suppressLineNumbers w:val="0"/>
        <w:kinsoku/>
        <w:wordWrap/>
        <w:overflowPunct/>
        <w:topLinePunct w:val="0"/>
        <w:autoSpaceDE w:val="0"/>
        <w:autoSpaceDN/>
        <w:bidi w:val="0"/>
        <w:spacing w:beforeAutospacing="0" w:afterAutospacing="0" w:line="560" w:lineRule="atLeast"/>
        <w:ind w:left="0" w:leftChars="0" w:right="0" w:rightChars="0" w:firstLine="643" w:firstLineChars="200"/>
        <w:jc w:val="left"/>
        <w:rPr>
          <w:rFonts w:hint="default" w:ascii="仿宋_GB2312" w:eastAsia="仿宋_GB2312" w:cs="仿宋_GB2312"/>
          <w:b/>
          <w:bCs/>
          <w:kern w:val="2"/>
          <w:sz w:val="32"/>
          <w:szCs w:val="32"/>
          <w:highlight w:val="none"/>
        </w:rPr>
      </w:pPr>
      <w:r>
        <w:rPr>
          <w:rFonts w:hint="default" w:ascii="仿宋_GB2312" w:hAnsi="Calibri" w:eastAsia="仿宋_GB2312" w:cs="仿宋_GB2312"/>
          <w:b/>
          <w:bCs/>
          <w:kern w:val="2"/>
          <w:sz w:val="32"/>
          <w:szCs w:val="32"/>
          <w:highlight w:val="none"/>
          <w:lang w:val="en-US" w:eastAsia="zh-CN" w:bidi="ar"/>
        </w:rPr>
        <w:t xml:space="preserve"> </w:t>
      </w:r>
      <w:r>
        <w:rPr>
          <w:rFonts w:hint="eastAsia" w:ascii="黑体" w:hAnsi="黑体" w:eastAsia="黑体" w:cs="黑体"/>
          <w:b w:val="0"/>
          <w:bCs w:val="0"/>
          <w:kern w:val="2"/>
          <w:sz w:val="32"/>
          <w:szCs w:val="32"/>
          <w:highlight w:val="none"/>
          <w:lang w:val="en-US" w:eastAsia="zh-CN" w:bidi="ar"/>
        </w:rPr>
        <w:t>二</w:t>
      </w:r>
      <w:r>
        <w:rPr>
          <w:rFonts w:hint="default" w:ascii="黑体" w:hAnsi="黑体" w:eastAsia="黑体" w:cs="黑体"/>
          <w:b w:val="0"/>
          <w:bCs w:val="0"/>
          <w:kern w:val="2"/>
          <w:sz w:val="32"/>
          <w:szCs w:val="32"/>
          <w:highlight w:val="none"/>
          <w:lang w:val="en-US" w:eastAsia="zh-CN" w:bidi="ar"/>
        </w:rPr>
        <w:t>、扶持标准与条件</w:t>
      </w:r>
    </w:p>
    <w:p>
      <w:pPr>
        <w:keepNext w:val="0"/>
        <w:keepLines w:val="0"/>
        <w:widowControl w:val="0"/>
        <w:suppressLineNumbers w:val="0"/>
        <w:kinsoku/>
        <w:wordWrap/>
        <w:overflowPunct/>
        <w:topLinePunct w:val="0"/>
        <w:autoSpaceDE w:val="0"/>
        <w:autoSpaceDN/>
        <w:bidi w:val="0"/>
        <w:spacing w:beforeAutospacing="0" w:afterAutospacing="0" w:line="560" w:lineRule="atLeast"/>
        <w:ind w:left="0" w:leftChars="0" w:right="0" w:rightChars="0" w:firstLine="640" w:firstLineChars="200"/>
        <w:jc w:val="both"/>
        <w:rPr>
          <w:rFonts w:hint="default" w:ascii="仿宋_GB2312" w:eastAsia="仿宋_GB2312" w:cs="仿宋_GB2312"/>
          <w:b/>
          <w:bCs/>
          <w:kern w:val="2"/>
          <w:sz w:val="32"/>
          <w:szCs w:val="32"/>
          <w:highlight w:val="none"/>
        </w:rPr>
      </w:pPr>
      <w:r>
        <w:rPr>
          <w:rFonts w:hint="default" w:ascii="仿宋_GB2312" w:hAnsi="Calibri" w:eastAsia="仿宋_GB2312" w:cs="仿宋_GB2312"/>
          <w:kern w:val="2"/>
          <w:sz w:val="32"/>
          <w:szCs w:val="32"/>
          <w:highlight w:val="none"/>
          <w:lang w:val="en-US" w:eastAsia="zh-CN" w:bidi="ar"/>
        </w:rPr>
        <w:t>（1）按</w:t>
      </w:r>
      <w:r>
        <w:rPr>
          <w:rFonts w:hint="eastAsia" w:ascii="仿宋_GB2312" w:hAnsi="Calibri" w:eastAsia="仿宋_GB2312" w:cs="仿宋_GB2312"/>
          <w:kern w:val="2"/>
          <w:sz w:val="32"/>
          <w:szCs w:val="32"/>
          <w:highlight w:val="none"/>
          <w:lang w:val="en-US" w:eastAsia="zh-CN" w:bidi="ar"/>
        </w:rPr>
        <w:t>疫情防控期间</w:t>
      </w:r>
      <w:r>
        <w:rPr>
          <w:rFonts w:hint="default" w:ascii="仿宋_GB2312" w:hAnsi="Calibri" w:eastAsia="仿宋_GB2312" w:cs="仿宋_GB2312"/>
          <w:kern w:val="2"/>
          <w:sz w:val="32"/>
          <w:szCs w:val="32"/>
          <w:highlight w:val="none"/>
          <w:lang w:val="en-US" w:eastAsia="zh-CN" w:bidi="ar"/>
        </w:rPr>
        <w:t>企业到岗员工数，以5月31日前到岗人员最大值为基准，到岗员工达2000人以上（含）的，最高给予补贴50万元；1000人以上（含）-2000人的，最高给予补贴30万元；200人以上（含）-1000人的，最高给予补贴10万元；50人以上（含）-200人的，最高给予补贴5万元；50人以下的，最高给予补贴1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仿宋_GB2312"/>
          <w:kern w:val="2"/>
          <w:sz w:val="32"/>
          <w:szCs w:val="32"/>
          <w:highlight w:val="none"/>
          <w:lang w:val="en-US" w:eastAsia="zh-CN" w:bidi="ar"/>
        </w:rPr>
      </w:pPr>
      <w:r>
        <w:rPr>
          <w:rFonts w:hint="default" w:ascii="仿宋_GB2312" w:hAnsi="Calibri" w:eastAsia="仿宋_GB2312" w:cs="仿宋_GB2312"/>
          <w:kern w:val="2"/>
          <w:sz w:val="32"/>
          <w:szCs w:val="32"/>
          <w:highlight w:val="none"/>
          <w:lang w:val="en-US" w:eastAsia="zh-CN" w:bidi="ar"/>
        </w:rPr>
        <w:t>（2）企业在2022年3月1日至5月31日</w:t>
      </w:r>
      <w:r>
        <w:rPr>
          <w:rFonts w:hint="eastAsia" w:ascii="仿宋_GB2312" w:hAnsi="Calibri" w:eastAsia="仿宋_GB2312" w:cs="仿宋_GB2312"/>
          <w:kern w:val="2"/>
          <w:sz w:val="32"/>
          <w:szCs w:val="32"/>
          <w:highlight w:val="none"/>
          <w:lang w:val="en-US" w:eastAsia="zh-CN" w:bidi="ar"/>
        </w:rPr>
        <w:t>疫情防控期间</w:t>
      </w:r>
      <w:r>
        <w:rPr>
          <w:rFonts w:hint="default" w:ascii="仿宋_GB2312" w:hAnsi="Calibri" w:eastAsia="仿宋_GB2312" w:cs="仿宋_GB2312"/>
          <w:kern w:val="2"/>
          <w:sz w:val="32"/>
          <w:szCs w:val="32"/>
          <w:highlight w:val="none"/>
          <w:lang w:val="en-US" w:eastAsia="zh-CN" w:bidi="ar"/>
        </w:rPr>
        <w:t>应有防疫费用的实际支出，且实际支出金额应不低于相应各档的补贴标准；低于的，按实际支出金额的50%予以补贴。最迟结算日期为2022年6月3日。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00" w:left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三、申报材料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highlight w:val="none"/>
          <w:lang w:val="en-US" w:eastAsia="zh-CN" w:bidi="ar"/>
        </w:rPr>
        <w:t>一</w:t>
      </w:r>
      <w:r>
        <w:rPr>
          <w:rFonts w:hint="default" w:ascii="仿宋_GB2312" w:hAnsi="Calibri" w:eastAsia="仿宋_GB2312" w:cs="仿宋_GB2312"/>
          <w:kern w:val="2"/>
          <w:sz w:val="32"/>
          <w:szCs w:val="32"/>
          <w:highlight w:val="none"/>
          <w:lang w:val="en-US" w:eastAsia="zh-CN" w:bidi="ar"/>
        </w:rPr>
        <w:t>）嘉定区防疫费用补贴扶持项目申报表；</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highlight w:val="none"/>
          <w:lang w:val="en-US" w:eastAsia="zh-CN" w:bidi="ar"/>
        </w:rPr>
        <w:t>二</w:t>
      </w:r>
      <w:r>
        <w:rPr>
          <w:rFonts w:hint="default" w:ascii="仿宋_GB2312" w:hAnsi="Calibri" w:eastAsia="仿宋_GB2312" w:cs="仿宋_GB2312"/>
          <w:kern w:val="2"/>
          <w:sz w:val="32"/>
          <w:szCs w:val="32"/>
          <w:highlight w:val="none"/>
          <w:lang w:val="en-US" w:eastAsia="zh-CN" w:bidi="ar"/>
        </w:rPr>
        <w:t>）嘉定区财政专项资金项目申报信用承诺书；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highlight w:val="none"/>
          <w:lang w:val="en-US" w:eastAsia="zh-CN" w:bidi="ar"/>
        </w:rPr>
        <w:t>三</w:t>
      </w:r>
      <w:r>
        <w:rPr>
          <w:rFonts w:hint="default" w:ascii="仿宋_GB2312" w:hAnsi="Calibri" w:eastAsia="仿宋_GB2312" w:cs="仿宋_GB2312"/>
          <w:kern w:val="2"/>
          <w:sz w:val="32"/>
          <w:szCs w:val="32"/>
          <w:highlight w:val="none"/>
          <w:lang w:val="en-US" w:eastAsia="zh-CN" w:bidi="ar"/>
        </w:rPr>
        <w:t>）须提供</w:t>
      </w:r>
      <w:r>
        <w:rPr>
          <w:rFonts w:hint="eastAsia" w:ascii="仿宋_GB2312" w:hAnsi="Calibri" w:eastAsia="仿宋_GB2312" w:cs="仿宋_GB2312"/>
          <w:kern w:val="2"/>
          <w:sz w:val="32"/>
          <w:szCs w:val="32"/>
          <w:highlight w:val="none"/>
          <w:lang w:val="en-US" w:eastAsia="zh-CN" w:bidi="ar"/>
        </w:rPr>
        <w:t>疫情防控期间</w:t>
      </w:r>
      <w:r>
        <w:rPr>
          <w:rFonts w:hint="default" w:ascii="仿宋_GB2312" w:hAnsi="Calibri" w:eastAsia="仿宋_GB2312" w:cs="仿宋_GB2312"/>
          <w:kern w:val="2"/>
          <w:sz w:val="32"/>
          <w:szCs w:val="32"/>
          <w:highlight w:val="none"/>
          <w:lang w:val="en-US" w:eastAsia="zh-CN" w:bidi="ar"/>
        </w:rPr>
        <w:t>员工到岗人数的相关证明材料，包括但不限于核酸检测记录（</w:t>
      </w:r>
      <w:r>
        <w:rPr>
          <w:rFonts w:hint="default" w:ascii="仿宋_GB2312" w:hAnsi="Calibri" w:eastAsia="仿宋_GB2312" w:cs="仿宋_GB2312"/>
          <w:kern w:val="2"/>
          <w:sz w:val="32"/>
          <w:szCs w:val="32"/>
          <w:highlight w:val="none"/>
          <w:u w:val="none"/>
          <w:lang w:val="en-US" w:eastAsia="zh-CN" w:bidi="ar"/>
        </w:rPr>
        <w:t>需反映采样地点为企业地址</w:t>
      </w:r>
      <w:r>
        <w:rPr>
          <w:rFonts w:hint="default" w:ascii="仿宋_GB2312" w:hAnsi="Calibri" w:eastAsia="仿宋_GB2312" w:cs="仿宋_GB2312"/>
          <w:kern w:val="2"/>
          <w:sz w:val="32"/>
          <w:szCs w:val="32"/>
          <w:highlight w:val="none"/>
          <w:lang w:val="en-US" w:eastAsia="zh-CN" w:bidi="ar"/>
        </w:rPr>
        <w:t>）、考勤记录等；</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eastAsia="仿宋_GB2312" w:cs="仿宋_GB2312"/>
          <w:kern w:val="2"/>
          <w:sz w:val="32"/>
          <w:szCs w:val="32"/>
          <w:highlight w:val="none"/>
        </w:rPr>
      </w:pPr>
      <w:r>
        <w:rPr>
          <w:rFonts w:hint="default"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highlight w:val="none"/>
          <w:lang w:val="en-US" w:eastAsia="zh-CN" w:bidi="ar"/>
        </w:rPr>
        <w:t>四</w:t>
      </w:r>
      <w:r>
        <w:rPr>
          <w:rFonts w:hint="default" w:ascii="仿宋_GB2312" w:hAnsi="Calibri" w:eastAsia="仿宋_GB2312" w:cs="仿宋_GB2312"/>
          <w:kern w:val="2"/>
          <w:sz w:val="32"/>
          <w:szCs w:val="32"/>
          <w:highlight w:val="none"/>
          <w:lang w:val="en-US" w:eastAsia="zh-CN" w:bidi="ar"/>
        </w:rPr>
        <w:t>）须提供</w:t>
      </w:r>
      <w:r>
        <w:rPr>
          <w:rFonts w:hint="eastAsia" w:ascii="仿宋_GB2312" w:hAnsi="Calibri" w:eastAsia="仿宋_GB2312" w:cs="仿宋_GB2312"/>
          <w:kern w:val="2"/>
          <w:sz w:val="32"/>
          <w:szCs w:val="32"/>
          <w:highlight w:val="none"/>
          <w:lang w:val="en-US" w:eastAsia="zh-CN" w:bidi="ar"/>
        </w:rPr>
        <w:t>疫情防控期间</w:t>
      </w:r>
      <w:r>
        <w:rPr>
          <w:rFonts w:hint="default" w:ascii="仿宋_GB2312" w:hAnsi="Calibri" w:eastAsia="仿宋_GB2312" w:cs="仿宋_GB2312"/>
          <w:kern w:val="2"/>
          <w:sz w:val="32"/>
          <w:szCs w:val="32"/>
          <w:highlight w:val="none"/>
          <w:lang w:val="en-US" w:eastAsia="zh-CN" w:bidi="ar"/>
        </w:rPr>
        <w:t>为满足封闭生产经营需要而发生的防疫费用实际支出票据、合同协议、银行转账凭证等相关证明材料；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Calibri" w:eastAsia="仿宋_GB2312" w:cs="仿宋_GB2312"/>
          <w:kern w:val="2"/>
          <w:sz w:val="32"/>
          <w:szCs w:val="32"/>
          <w:highlight w:val="none"/>
          <w:lang w:val="en-US" w:eastAsia="zh-CN" w:bidi="ar"/>
        </w:rPr>
        <w:t>（</w:t>
      </w:r>
      <w:r>
        <w:rPr>
          <w:rFonts w:hint="eastAsia" w:ascii="仿宋_GB2312" w:hAnsi="Calibri" w:eastAsia="仿宋_GB2312" w:cs="仿宋_GB2312"/>
          <w:kern w:val="2"/>
          <w:sz w:val="32"/>
          <w:szCs w:val="32"/>
          <w:highlight w:val="none"/>
          <w:lang w:val="en-US" w:eastAsia="zh-CN" w:bidi="ar"/>
        </w:rPr>
        <w:t>五</w:t>
      </w:r>
      <w:r>
        <w:rPr>
          <w:rFonts w:hint="default" w:ascii="仿宋_GB2312" w:hAnsi="Calibri" w:eastAsia="仿宋_GB2312" w:cs="仿宋_GB2312"/>
          <w:kern w:val="2"/>
          <w:sz w:val="32"/>
          <w:szCs w:val="32"/>
          <w:highlight w:val="none"/>
          <w:lang w:val="en-US" w:eastAsia="zh-CN" w:bidi="ar"/>
        </w:rPr>
        <w:t>）其他相关材料。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四、申报方式</w:t>
      </w:r>
    </w:p>
    <w:p>
      <w:pPr>
        <w:pStyle w:val="2"/>
        <w:rPr>
          <w:rFonts w:hint="eastAsia"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w:t>
      </w:r>
      <w:r>
        <w:rPr>
          <w:rFonts w:hint="eastAsia" w:hAnsi="仿宋_GB2312" w:eastAsia="仿宋_GB2312" w:cs="仿宋_GB2312"/>
          <w:kern w:val="2"/>
          <w:sz w:val="32"/>
          <w:szCs w:val="32"/>
          <w:highlight w:val="none"/>
          <w:lang w:val="en-US" w:eastAsia="zh-CN" w:bidi="ar-SA"/>
        </w:rPr>
        <w:t>次项目申报采用网上申报方式。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申报单位需登录</w:t>
      </w:r>
      <w:r>
        <w:rPr>
          <w:rFonts w:hint="default" w:ascii="仿宋_GB2312" w:hAnsi="仿宋_GB2312" w:eastAsia="仿宋_GB2312" w:cs="仿宋_GB2312"/>
          <w:kern w:val="2"/>
          <w:sz w:val="32"/>
          <w:szCs w:val="32"/>
          <w:lang w:val="en-US" w:eastAsia="zh-CN" w:bidi="ar-SA"/>
        </w:rPr>
        <w:t>嘉定区产业政策扶持信息</w:t>
      </w:r>
      <w:r>
        <w:rPr>
          <w:rFonts w:hint="eastAsia" w:ascii="仿宋_GB2312" w:hAnsi="仿宋_GB2312" w:eastAsia="仿宋_GB2312" w:cs="仿宋_GB2312"/>
          <w:kern w:val="2"/>
          <w:sz w:val="32"/>
          <w:szCs w:val="32"/>
          <w:lang w:val="en-US" w:eastAsia="zh-CN" w:bidi="ar-SA"/>
        </w:rPr>
        <w:t>管理系统（http://jwjc.jiading.gov.cn:9060/zcpt/login），进行在线填报并按要求提交相关材料。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网上申报时间为2022年6月27日10:00-2022年7月26日16:00。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lang w:val="en-US" w:eastAsia="zh-CN" w:bidi="ar-SA"/>
        </w:rPr>
        <w:t>各类申请表均通过嘉定区产业政策扶持信息管理系统填写后统一生成，发票、合同等佐证材料需企业另行上传PDF文件。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五、咨询电话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工业类企业：69989796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商业、服务业企业：69981806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软件信息服务业企业：69989389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商贸流通类企业：69989629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六、其他事项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rFonts w:hint="default"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 （一）我委从未委托任何机构或个人代理专项资金申报事宜，请项目单位自主申报项目。我委将严格按照有关标准和程序受理申请，不收取任何费用。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left"/>
        <w:rPr>
          <w:sz w:val="36"/>
          <w:szCs w:val="36"/>
        </w:rPr>
      </w:pPr>
      <w:r>
        <w:rPr>
          <w:rFonts w:hint="eastAsia" w:ascii="仿宋_GB2312" w:hAnsi="Calibri" w:eastAsia="仿宋_GB2312" w:cs="仿宋_GB2312"/>
          <w:kern w:val="2"/>
          <w:sz w:val="32"/>
          <w:szCs w:val="32"/>
          <w:highlight w:val="none"/>
          <w:lang w:val="en-US" w:eastAsia="zh-CN" w:bidi="ar"/>
        </w:rPr>
        <w:t> （二）本补贴扶持项目已申报其他市、区专项扶持项目的应主动予以申明。已获得财政资金支持的同一项目不得再重复申请资助。</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嘉定区经济委员会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2022年6月23日</w:t>
      </w: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left="0" w:leftChars="0" w:right="0" w:rightChars="0" w:firstLine="640" w:firstLineChars="200"/>
        <w:jc w:val="right"/>
        <w:rPr>
          <w:rFonts w:hint="eastAsia" w:ascii="仿宋_GB2312" w:hAnsi="Calibri" w:eastAsia="仿宋_GB2312" w:cs="仿宋_GB2312"/>
          <w:kern w:val="2"/>
          <w:sz w:val="32"/>
          <w:szCs w:val="32"/>
          <w:highlight w:val="none"/>
          <w:lang w:val="en-US" w:eastAsia="zh-CN" w:bidi="ar"/>
        </w:rPr>
      </w:pP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附件1：</w:t>
      </w:r>
    </w:p>
    <w:tbl>
      <w:tblPr>
        <w:tblStyle w:val="8"/>
        <w:tblpPr w:leftFromText="180" w:rightFromText="180" w:vertAnchor="text" w:horzAnchor="margin" w:tblpXSpec="center" w:tblpY="6"/>
        <w:tblW w:w="975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7"/>
        <w:gridCol w:w="3152"/>
        <w:gridCol w:w="1830"/>
        <w:gridCol w:w="3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759" w:type="dxa"/>
            <w:gridSpan w:val="4"/>
            <w:tcBorders>
              <w:top w:val="nil"/>
              <w:left w:val="nil"/>
              <w:right w:val="nil"/>
            </w:tcBorders>
            <w:noWrap w:val="0"/>
            <w:vAlign w:val="center"/>
          </w:tcPr>
          <w:p>
            <w:pPr>
              <w:spacing w:line="560" w:lineRule="exact"/>
              <w:jc w:val="center"/>
              <w:rPr>
                <w:rFonts w:ascii="宋体"/>
                <w:bCs/>
                <w:kern w:val="0"/>
              </w:rPr>
            </w:pPr>
            <w:r>
              <w:rPr>
                <w:rFonts w:hint="eastAsia" w:ascii="方正小标宋简体" w:hAnsi="方正小标宋简体" w:eastAsia="方正小标宋简体" w:cs="方正小标宋简体"/>
                <w:kern w:val="2"/>
                <w:sz w:val="36"/>
                <w:szCs w:val="36"/>
                <w:lang w:val="en-US" w:eastAsia="zh-CN" w:bidi="ar-SA"/>
              </w:rPr>
              <w:t>嘉定区防疫费用补贴扶持项目申报表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单位全称</w:t>
            </w:r>
          </w:p>
        </w:tc>
        <w:tc>
          <w:tcPr>
            <w:tcW w:w="3152" w:type="dxa"/>
            <w:tcBorders>
              <w:tl2br w:val="nil"/>
              <w:tr2bl w:val="nil"/>
            </w:tcBorders>
            <w:noWrap w:val="0"/>
            <w:vAlign w:val="center"/>
          </w:tcPr>
          <w:p>
            <w:pPr>
              <w:widowControl/>
              <w:jc w:val="center"/>
              <w:rPr>
                <w:rFonts w:hint="eastAsia" w:ascii="宋体" w:hAnsi="宋体" w:eastAsia="宋体" w:cs="宋体"/>
                <w:b/>
                <w:bCs/>
                <w:kern w:val="0"/>
                <w:sz w:val="24"/>
                <w:szCs w:val="24"/>
              </w:rPr>
            </w:pPr>
          </w:p>
        </w:tc>
        <w:tc>
          <w:tcPr>
            <w:tcW w:w="1830" w:type="dxa"/>
            <w:tcBorders>
              <w:tl2br w:val="nil"/>
              <w:tr2bl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组织机构代码</w:t>
            </w:r>
          </w:p>
        </w:tc>
        <w:tc>
          <w:tcPr>
            <w:tcW w:w="3180" w:type="dxa"/>
            <w:tcBorders>
              <w:tl2br w:val="nil"/>
              <w:tr2bl w:val="nil"/>
            </w:tcBorders>
            <w:noWrap w:val="0"/>
            <w:vAlign w:val="top"/>
          </w:tcPr>
          <w:p>
            <w:pPr>
              <w:widowControl/>
              <w:jc w:val="center"/>
              <w:rPr>
                <w:rFonts w:ascii="宋体"/>
                <w:b/>
                <w:bCs/>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经营</w:t>
            </w:r>
            <w:r>
              <w:rPr>
                <w:rFonts w:hint="eastAsia" w:ascii="宋体" w:hAnsi="宋体" w:eastAsia="宋体" w:cs="宋体"/>
                <w:kern w:val="0"/>
                <w:sz w:val="24"/>
                <w:szCs w:val="24"/>
              </w:rPr>
              <w:t>地址</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rPr>
            </w:pPr>
          </w:p>
        </w:tc>
        <w:tc>
          <w:tcPr>
            <w:tcW w:w="1830" w:type="dxa"/>
            <w:tcBorders>
              <w:tl2br w:val="nil"/>
              <w:tr2bl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所属行业</w:t>
            </w:r>
          </w:p>
        </w:tc>
        <w:tc>
          <w:tcPr>
            <w:tcW w:w="3180" w:type="dxa"/>
            <w:tcBorders>
              <w:tl2br w:val="nil"/>
              <w:tr2bl w:val="nil"/>
            </w:tcBorders>
            <w:noWrap w:val="0"/>
            <w:vAlign w:val="center"/>
          </w:tcPr>
          <w:p>
            <w:pPr>
              <w:widowControl/>
              <w:jc w:val="center"/>
              <w:rPr>
                <w:rFonts w:hint="eastAsia"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企业负责人</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rPr>
            </w:pPr>
          </w:p>
        </w:tc>
        <w:tc>
          <w:tcPr>
            <w:tcW w:w="1830" w:type="dxa"/>
            <w:tcBorders>
              <w:tl2br w:val="nil"/>
              <w:tr2bl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联系电话</w:t>
            </w:r>
          </w:p>
        </w:tc>
        <w:tc>
          <w:tcPr>
            <w:tcW w:w="3180" w:type="dxa"/>
            <w:tcBorders>
              <w:tl2br w:val="nil"/>
              <w:tr2bl w:val="nil"/>
            </w:tcBorders>
            <w:noWrap w:val="0"/>
            <w:vAlign w:val="center"/>
          </w:tcPr>
          <w:p>
            <w:pPr>
              <w:widowControl/>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项目负责人</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rPr>
            </w:pPr>
          </w:p>
        </w:tc>
        <w:tc>
          <w:tcPr>
            <w:tcW w:w="1830"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联系电话</w:t>
            </w:r>
          </w:p>
        </w:tc>
        <w:tc>
          <w:tcPr>
            <w:tcW w:w="3180" w:type="dxa"/>
            <w:tcBorders>
              <w:tl2br w:val="nil"/>
              <w:tr2bl w:val="nil"/>
            </w:tcBorders>
            <w:noWrap w:val="0"/>
            <w:vAlign w:val="center"/>
          </w:tcPr>
          <w:p>
            <w:pPr>
              <w:widowControl/>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开户行</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bidi="ar-SA"/>
              </w:rPr>
            </w:pPr>
          </w:p>
        </w:tc>
        <w:tc>
          <w:tcPr>
            <w:tcW w:w="1830"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银行账号</w:t>
            </w:r>
          </w:p>
        </w:tc>
        <w:tc>
          <w:tcPr>
            <w:tcW w:w="3180" w:type="dxa"/>
            <w:tcBorders>
              <w:tl2br w:val="nil"/>
              <w:tr2bl w:val="nil"/>
            </w:tcBorders>
            <w:noWrap w:val="0"/>
            <w:vAlign w:val="center"/>
          </w:tcPr>
          <w:p>
            <w:pPr>
              <w:widowControl/>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restart"/>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2021年</w:t>
            </w:r>
          </w:p>
        </w:tc>
        <w:tc>
          <w:tcPr>
            <w:tcW w:w="3152" w:type="dxa"/>
            <w:tcBorders>
              <w:tl2br w:val="nil"/>
              <w:tr2bl w:val="nil"/>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2"/>
                <w:szCs w:val="22"/>
                <w:lang w:val="en-US" w:eastAsia="zh-CN"/>
              </w:rPr>
              <w:t>产值（营收）：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万元</w:t>
            </w:r>
          </w:p>
        </w:tc>
        <w:tc>
          <w:tcPr>
            <w:tcW w:w="1830" w:type="dxa"/>
            <w:vMerge w:val="restart"/>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2022年1-6月</w:t>
            </w:r>
          </w:p>
        </w:tc>
        <w:tc>
          <w:tcPr>
            <w:tcW w:w="3180" w:type="dxa"/>
            <w:tcBorders>
              <w:tl2br w:val="nil"/>
              <w:tr2bl w:val="nil"/>
            </w:tcBorders>
            <w:noWrap w:val="0"/>
            <w:vAlign w:val="center"/>
          </w:tcPr>
          <w:p>
            <w:pPr>
              <w:widowControl/>
              <w:jc w:val="left"/>
              <w:rPr>
                <w:rFonts w:hint="eastAsia" w:ascii="宋体" w:hAnsi="宋体" w:eastAsia="宋体" w:cs="宋体"/>
                <w:kern w:val="0"/>
              </w:rPr>
            </w:pPr>
            <w:r>
              <w:rPr>
                <w:rFonts w:hint="eastAsia" w:ascii="宋体" w:hAnsi="宋体" w:eastAsia="宋体" w:cs="宋体"/>
                <w:kern w:val="0"/>
                <w:sz w:val="22"/>
                <w:szCs w:val="22"/>
                <w:lang w:val="en-US" w:eastAsia="zh-CN"/>
              </w:rPr>
              <w:t>产值（营收）：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continue"/>
            <w:tcBorders>
              <w:tl2br w:val="nil"/>
              <w:tr2bl w:val="nil"/>
            </w:tcBorders>
            <w:noWrap w:val="0"/>
            <w:vAlign w:val="center"/>
          </w:tcPr>
          <w:p>
            <w:pPr>
              <w:widowControl/>
              <w:jc w:val="center"/>
              <w:rPr>
                <w:rFonts w:hint="eastAsia" w:ascii="宋体" w:hAnsi="宋体" w:eastAsia="宋体" w:cs="宋体"/>
                <w:sz w:val="24"/>
                <w:szCs w:val="24"/>
              </w:rPr>
            </w:pPr>
          </w:p>
        </w:tc>
        <w:tc>
          <w:tcPr>
            <w:tcW w:w="3152" w:type="dxa"/>
            <w:tcBorders>
              <w:tl2br w:val="nil"/>
              <w:tr2bl w:val="nil"/>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税收：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 xml:space="preserve"> 万元</w:t>
            </w:r>
          </w:p>
        </w:tc>
        <w:tc>
          <w:tcPr>
            <w:tcW w:w="1830" w:type="dxa"/>
            <w:vMerge w:val="continue"/>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p>
        </w:tc>
        <w:tc>
          <w:tcPr>
            <w:tcW w:w="3180" w:type="dxa"/>
            <w:tcBorders>
              <w:tl2br w:val="nil"/>
              <w:tr2bl w:val="nil"/>
            </w:tcBorders>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税收：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lang w:val="en-US" w:eastAsia="zh-CN"/>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2" w:hRule="atLeas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rPr>
              <w:t>简介</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主营业务或主要产品情况）</w:t>
            </w:r>
          </w:p>
        </w:tc>
        <w:tc>
          <w:tcPr>
            <w:tcW w:w="8162" w:type="dxa"/>
            <w:gridSpan w:val="3"/>
            <w:tcBorders>
              <w:tl2br w:val="nil"/>
              <w:tr2bl w:val="nil"/>
            </w:tcBorders>
            <w:noWrap w:val="0"/>
            <w:vAlign w:val="center"/>
          </w:tcPr>
          <w:p>
            <w:pPr>
              <w:widowControl/>
              <w:jc w:val="center"/>
              <w:rPr>
                <w:rFonts w:hint="eastAsia" w:ascii="宋体" w:hAnsi="宋体" w:eastAsia="宋体" w:cs="宋体"/>
                <w:kern w:val="0"/>
                <w:sz w:val="24"/>
                <w:szCs w:val="24"/>
              </w:rPr>
            </w:pPr>
          </w:p>
          <w:p>
            <w:pPr>
              <w:widowControl/>
              <w:spacing w:line="360" w:lineRule="auto"/>
              <w:ind w:firstLine="480" w:firstLineChars="200"/>
              <w:jc w:val="left"/>
              <w:rPr>
                <w:rFonts w:hint="eastAsia" w:ascii="宋体" w:hAnsi="宋体" w:eastAsia="宋体" w:cs="宋体"/>
                <w:sz w:val="24"/>
                <w:szCs w:val="24"/>
              </w:rPr>
            </w:pPr>
          </w:p>
          <w:p>
            <w:pPr>
              <w:widowControl/>
              <w:spacing w:line="360" w:lineRule="auto"/>
              <w:ind w:firstLine="480" w:firstLineChars="200"/>
              <w:jc w:val="left"/>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年</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月</w:t>
            </w:r>
            <w:r>
              <w:rPr>
                <w:rFonts w:hint="eastAsia" w:ascii="宋体" w:hAnsi="宋体" w:eastAsia="宋体" w:cs="宋体"/>
                <w:spacing w:val="-8"/>
                <w:sz w:val="24"/>
                <w:szCs w:val="24"/>
                <w:lang w:val="en-US" w:eastAsia="zh-CN"/>
              </w:rPr>
              <w:t>防疫费用支出</w:t>
            </w:r>
            <w:r>
              <w:rPr>
                <w:rFonts w:hint="eastAsia" w:ascii="宋体" w:hAnsi="宋体" w:eastAsia="宋体" w:cs="宋体"/>
                <w:spacing w:val="-8"/>
                <w:sz w:val="24"/>
                <w:szCs w:val="24"/>
              </w:rPr>
              <w:t>合计（万元）</w:t>
            </w:r>
          </w:p>
        </w:tc>
        <w:tc>
          <w:tcPr>
            <w:tcW w:w="3152" w:type="dxa"/>
            <w:tcBorders>
              <w:tl2br w:val="nil"/>
              <w:tr2bl w:val="nil"/>
            </w:tcBorders>
            <w:noWrap w:val="0"/>
            <w:vAlign w:val="center"/>
          </w:tcPr>
          <w:p>
            <w:pPr>
              <w:widowControl/>
              <w:jc w:val="center"/>
              <w:rPr>
                <w:rFonts w:hint="eastAsia" w:ascii="宋体" w:hAnsi="宋体" w:eastAsia="宋体" w:cs="宋体"/>
                <w:kern w:val="0"/>
                <w:sz w:val="24"/>
                <w:szCs w:val="24"/>
              </w:rPr>
            </w:pPr>
          </w:p>
        </w:tc>
        <w:tc>
          <w:tcPr>
            <w:tcW w:w="1830" w:type="dxa"/>
            <w:tcBorders>
              <w:tl2br w:val="nil"/>
              <w:tr2bl w:val="nil"/>
            </w:tcBorders>
            <w:noWrap w:val="0"/>
            <w:vAlign w:val="center"/>
          </w:tcPr>
          <w:p>
            <w:pPr>
              <w:widowControl/>
              <w:jc w:val="center"/>
              <w:rPr>
                <w:rFonts w:hint="eastAsia" w:ascii="宋体" w:hAnsi="宋体" w:eastAsia="宋体" w:cs="宋体"/>
                <w:spacing w:val="-8"/>
                <w:sz w:val="24"/>
                <w:szCs w:val="24"/>
              </w:rPr>
            </w:pPr>
            <w:r>
              <w:rPr>
                <w:rFonts w:hint="eastAsia" w:ascii="宋体" w:hAnsi="宋体" w:eastAsia="宋体" w:cs="宋体"/>
                <w:spacing w:val="-8"/>
                <w:sz w:val="24"/>
                <w:szCs w:val="24"/>
              </w:rPr>
              <w:t>申请补贴金额</w:t>
            </w:r>
          </w:p>
          <w:p>
            <w:pPr>
              <w:widowControl/>
              <w:jc w:val="center"/>
              <w:rPr>
                <w:rFonts w:hint="eastAsia" w:ascii="宋体" w:hAnsi="宋体" w:eastAsia="宋体" w:cs="宋体"/>
                <w:kern w:val="0"/>
                <w:sz w:val="24"/>
                <w:szCs w:val="24"/>
              </w:rPr>
            </w:pPr>
            <w:r>
              <w:rPr>
                <w:rFonts w:hint="eastAsia" w:ascii="宋体" w:hAnsi="宋体" w:eastAsia="宋体" w:cs="宋体"/>
                <w:spacing w:val="-8"/>
                <w:sz w:val="24"/>
                <w:szCs w:val="24"/>
              </w:rPr>
              <w:t>（万元）</w:t>
            </w:r>
          </w:p>
        </w:tc>
        <w:tc>
          <w:tcPr>
            <w:tcW w:w="3180" w:type="dxa"/>
            <w:tcBorders>
              <w:tl2br w:val="nil"/>
              <w:tr2bl w:val="nil"/>
            </w:tcBorders>
            <w:noWrap w:val="0"/>
            <w:vAlign w:val="center"/>
          </w:tcPr>
          <w:p>
            <w:pPr>
              <w:widowControl/>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8" w:hRule="atLeast"/>
          <w:jc w:val="center"/>
        </w:trPr>
        <w:tc>
          <w:tcPr>
            <w:tcW w:w="1597" w:type="dxa"/>
            <w:tcBorders>
              <w:tl2br w:val="nil"/>
              <w:tr2bl w:val="nil"/>
            </w:tcBorders>
            <w:noWrap w:val="0"/>
            <w:vAlign w:val="center"/>
          </w:tcPr>
          <w:p>
            <w:pPr>
              <w:widowControl/>
              <w:jc w:val="center"/>
              <w:rPr>
                <w:rFonts w:hint="eastAsia" w:ascii="宋体" w:hAnsi="宋体" w:eastAsia="宋体" w:cs="宋体"/>
                <w:kern w:val="0"/>
                <w:sz w:val="24"/>
                <w:szCs w:val="24"/>
                <w:lang w:val="en-US" w:eastAsia="zh-CN"/>
              </w:rPr>
            </w:pPr>
          </w:p>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项目说明</w:t>
            </w:r>
          </w:p>
        </w:tc>
        <w:tc>
          <w:tcPr>
            <w:tcW w:w="8162" w:type="dxa"/>
            <w:gridSpan w:val="3"/>
            <w:tcBorders>
              <w:tl2br w:val="nil"/>
              <w:tr2bl w:val="nil"/>
            </w:tcBorders>
            <w:noWrap w:val="0"/>
            <w:vAlign w:val="top"/>
          </w:tcPr>
          <w:p>
            <w:pPr>
              <w:spacing w:after="156" w:afterLines="50"/>
              <w:jc w:val="both"/>
              <w:rPr>
                <w:rFonts w:hint="eastAsia" w:ascii="宋体" w:hAnsi="宋体" w:eastAsia="宋体" w:cs="宋体"/>
                <w:kern w:val="0"/>
                <w:sz w:val="24"/>
                <w:szCs w:val="24"/>
                <w:lang w:val="en-US" w:eastAsia="zh-CN"/>
              </w:rPr>
            </w:pPr>
          </w:p>
        </w:tc>
      </w:tr>
    </w:tbl>
    <w:p/>
    <w:p>
      <w:pPr>
        <w:pStyle w:val="2"/>
      </w:pPr>
    </w:p>
    <w:tbl>
      <w:tblPr>
        <w:tblStyle w:val="8"/>
        <w:tblW w:w="9920" w:type="dxa"/>
        <w:jc w:val="center"/>
        <w:tblLayout w:type="fixed"/>
        <w:tblCellMar>
          <w:top w:w="0" w:type="dxa"/>
          <w:left w:w="108" w:type="dxa"/>
          <w:bottom w:w="0" w:type="dxa"/>
          <w:right w:w="108" w:type="dxa"/>
        </w:tblCellMar>
      </w:tblPr>
      <w:tblGrid>
        <w:gridCol w:w="1500"/>
        <w:gridCol w:w="455"/>
        <w:gridCol w:w="625"/>
        <w:gridCol w:w="1080"/>
        <w:gridCol w:w="1080"/>
        <w:gridCol w:w="140"/>
        <w:gridCol w:w="1880"/>
        <w:gridCol w:w="295"/>
        <w:gridCol w:w="972"/>
        <w:gridCol w:w="893"/>
        <w:gridCol w:w="1000"/>
      </w:tblGrid>
      <w:tr>
        <w:tblPrEx>
          <w:tblCellMar>
            <w:top w:w="0" w:type="dxa"/>
            <w:left w:w="108" w:type="dxa"/>
            <w:bottom w:w="0" w:type="dxa"/>
            <w:right w:w="108" w:type="dxa"/>
          </w:tblCellMar>
        </w:tblPrEx>
        <w:trPr>
          <w:trHeight w:val="480" w:hRule="atLeast"/>
          <w:jc w:val="center"/>
        </w:trPr>
        <w:tc>
          <w:tcPr>
            <w:tcW w:w="1500" w:type="dxa"/>
            <w:tcBorders>
              <w:top w:val="nil"/>
              <w:left w:val="nil"/>
              <w:bottom w:val="nil"/>
              <w:right w:val="nil"/>
            </w:tcBorders>
            <w:shd w:val="clear" w:color="auto" w:fill="auto"/>
            <w:vAlign w:val="center"/>
          </w:tcPr>
          <w:p>
            <w:pPr>
              <w:widowControl/>
              <w:spacing w:line="600" w:lineRule="exact"/>
              <w:jc w:val="left"/>
              <w:rPr>
                <w:rFonts w:ascii="方正黑体_GBK" w:hAnsi="宋体" w:eastAsia="方正黑体_GBK" w:cs="宋体"/>
                <w:color w:val="000000"/>
                <w:kern w:val="0"/>
                <w:sz w:val="32"/>
                <w:szCs w:val="32"/>
              </w:rPr>
            </w:pPr>
            <w:r>
              <w:rPr>
                <w:rFonts w:hint="eastAsia" w:ascii="楷体_GB2312" w:hAnsi="楷体_GB2312" w:eastAsia="楷体_GB2312" w:cs="楷体_GB2312"/>
                <w:color w:val="000000"/>
                <w:kern w:val="0"/>
                <w:sz w:val="32"/>
                <w:szCs w:val="32"/>
              </w:rPr>
              <w:t>附件</w:t>
            </w:r>
            <w:r>
              <w:rPr>
                <w:rFonts w:hint="eastAsia" w:ascii="楷体_GB2312" w:hAnsi="楷体_GB2312" w:eastAsia="楷体_GB2312" w:cs="楷体_GB2312"/>
                <w:color w:val="000000"/>
                <w:kern w:val="0"/>
                <w:sz w:val="32"/>
                <w:szCs w:val="32"/>
                <w:lang w:val="en-US" w:eastAsia="zh-CN"/>
              </w:rPr>
              <w:t>2</w:t>
            </w:r>
            <w:r>
              <w:rPr>
                <w:rFonts w:hint="eastAsia" w:ascii="楷体_GB2312" w:hAnsi="楷体_GB2312" w:eastAsia="楷体_GB2312" w:cs="楷体_GB2312"/>
                <w:color w:val="000000"/>
                <w:kern w:val="0"/>
                <w:sz w:val="32"/>
                <w:szCs w:val="32"/>
              </w:rPr>
              <w:t>：</w:t>
            </w:r>
          </w:p>
        </w:tc>
        <w:tc>
          <w:tcPr>
            <w:tcW w:w="1080"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2020"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267" w:type="dxa"/>
            <w:gridSpan w:val="2"/>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0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15" w:hRule="atLeast"/>
          <w:jc w:val="center"/>
        </w:trPr>
        <w:tc>
          <w:tcPr>
            <w:tcW w:w="9920" w:type="dxa"/>
            <w:gridSpan w:val="11"/>
            <w:tcBorders>
              <w:top w:val="nil"/>
              <w:left w:val="nil"/>
              <w:bottom w:val="nil"/>
              <w:right w:val="nil"/>
            </w:tcBorders>
            <w:shd w:val="clear" w:color="auto" w:fill="auto"/>
            <w:vAlign w:val="center"/>
          </w:tcPr>
          <w:p>
            <w:pPr>
              <w:widowControl/>
              <w:spacing w:line="600" w:lineRule="exact"/>
              <w:jc w:val="center"/>
              <w:rPr>
                <w:rFonts w:ascii="方正小标宋_GBK" w:hAnsi="宋体" w:eastAsia="方正小标宋_GBK" w:cs="宋体"/>
                <w:color w:val="000000"/>
                <w:kern w:val="0"/>
                <w:sz w:val="40"/>
                <w:szCs w:val="40"/>
              </w:rPr>
            </w:pPr>
            <w:r>
              <w:rPr>
                <w:rFonts w:hint="eastAsia" w:ascii="方正小标宋简体" w:hAnsi="方正小标宋简体" w:eastAsia="方正小标宋简体" w:cs="方正小标宋简体"/>
                <w:color w:val="000000"/>
                <w:kern w:val="0"/>
                <w:sz w:val="44"/>
                <w:szCs w:val="44"/>
                <w:lang w:eastAsia="zh-CN"/>
              </w:rPr>
              <w:t>嘉定</w:t>
            </w:r>
            <w:r>
              <w:rPr>
                <w:rFonts w:hint="eastAsia" w:ascii="方正小标宋简体" w:hAnsi="方正小标宋简体" w:eastAsia="方正小标宋简体" w:cs="方正小标宋简体"/>
                <w:color w:val="000000"/>
                <w:kern w:val="0"/>
                <w:sz w:val="44"/>
                <w:szCs w:val="44"/>
              </w:rPr>
              <w:t>区财政专项资金项目申报信用承诺书</w:t>
            </w:r>
          </w:p>
        </w:tc>
      </w:tr>
      <w:tr>
        <w:tblPrEx>
          <w:tblCellMar>
            <w:top w:w="0" w:type="dxa"/>
            <w:left w:w="108" w:type="dxa"/>
            <w:bottom w:w="0" w:type="dxa"/>
            <w:right w:w="108" w:type="dxa"/>
          </w:tblCellMar>
        </w:tblPrEx>
        <w:trPr>
          <w:trHeight w:val="300" w:hRule="atLeast"/>
          <w:jc w:val="center"/>
        </w:trPr>
        <w:tc>
          <w:tcPr>
            <w:tcW w:w="7055" w:type="dxa"/>
            <w:gridSpan w:val="8"/>
            <w:tcBorders>
              <w:top w:val="nil"/>
              <w:left w:val="nil"/>
              <w:bottom w:val="single" w:color="auto" w:sz="4" w:space="0"/>
              <w:right w:val="nil"/>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72"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893"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00"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ascii="宋体" w:hAnsi="宋体" w:eastAsia="宋体" w:cs="宋体"/>
                <w:color w:val="000000"/>
                <w:kern w:val="0"/>
                <w:sz w:val="22"/>
              </w:rPr>
            </w:pPr>
            <w:r>
              <w:rPr>
                <w:rFonts w:hint="eastAsia" w:ascii="宋体" w:hAnsi="宋体" w:eastAsia="宋体" w:cs="宋体"/>
                <w:color w:val="000000"/>
                <w:kern w:val="0"/>
                <w:sz w:val="22"/>
              </w:rPr>
              <w:t>项目申报单位</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c>
          <w:tcPr>
            <w:tcW w:w="2175" w:type="dxa"/>
            <w:gridSpan w:val="2"/>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统一社会</w:t>
            </w:r>
            <w:r>
              <w:rPr>
                <w:rFonts w:ascii="宋体" w:hAnsi="宋体" w:eastAsia="宋体" w:cs="宋体"/>
                <w:color w:val="000000"/>
                <w:kern w:val="0"/>
                <w:sz w:val="22"/>
              </w:rPr>
              <w:t>信用代码</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经营地址</w:t>
            </w:r>
          </w:p>
        </w:tc>
        <w:tc>
          <w:tcPr>
            <w:tcW w:w="796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70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0" w:lineRule="atLeast"/>
              <w:ind w:right="-53" w:rightChars="-25"/>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项目名称</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c>
          <w:tcPr>
            <w:tcW w:w="2175" w:type="dxa"/>
            <w:gridSpan w:val="2"/>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申报依据</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企业负责人</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联系电话</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ascii="宋体" w:hAnsi="宋体" w:eastAsia="宋体" w:cs="宋体"/>
                <w:color w:val="000000"/>
                <w:kern w:val="0"/>
                <w:sz w:val="22"/>
              </w:rPr>
            </w:pPr>
            <w:r>
              <w:rPr>
                <w:rFonts w:hint="eastAsia" w:ascii="宋体" w:hAnsi="宋体" w:eastAsia="宋体" w:cs="宋体"/>
                <w:color w:val="000000"/>
                <w:kern w:val="0"/>
                <w:sz w:val="22"/>
              </w:rPr>
              <w:t>项目责任人</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39" w:hRule="atLeast"/>
          <w:jc w:val="center"/>
        </w:trPr>
        <w:tc>
          <w:tcPr>
            <w:tcW w:w="9920" w:type="dxa"/>
            <w:gridSpan w:val="11"/>
            <w:tcBorders>
              <w:top w:val="single" w:color="auto" w:sz="4" w:space="0"/>
              <w:left w:val="single" w:color="auto" w:sz="4" w:space="0"/>
              <w:bottom w:val="nil"/>
              <w:right w:val="single" w:color="000000"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项目申报单位承诺:                                                        </w:t>
            </w:r>
          </w:p>
        </w:tc>
      </w:tr>
      <w:tr>
        <w:tblPrEx>
          <w:tblCellMar>
            <w:top w:w="0" w:type="dxa"/>
            <w:left w:w="108" w:type="dxa"/>
            <w:bottom w:w="0" w:type="dxa"/>
            <w:right w:w="108" w:type="dxa"/>
          </w:tblCellMar>
        </w:tblPrEx>
        <w:trPr>
          <w:trHeight w:val="57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   1.本单位近三年信用状况良好，无严重失信行为。</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   2.申报的所有材料均依据相关项目申报要求,据实提供。</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xml:space="preserve">   3.专项资金获批后将按规定使用。</w:t>
            </w:r>
          </w:p>
        </w:tc>
      </w:tr>
      <w:tr>
        <w:tblPrEx>
          <w:tblCellMar>
            <w:top w:w="0" w:type="dxa"/>
            <w:left w:w="108" w:type="dxa"/>
            <w:bottom w:w="0" w:type="dxa"/>
            <w:right w:w="108" w:type="dxa"/>
          </w:tblCellMar>
        </w:tblPrEx>
        <w:trPr>
          <w:trHeight w:val="675"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ind w:left="550" w:hanging="550" w:hangingChars="250"/>
              <w:jc w:val="left"/>
              <w:rPr>
                <w:rFonts w:ascii="宋体" w:hAnsi="宋体" w:eastAsia="宋体" w:cs="宋体"/>
                <w:color w:val="000000"/>
                <w:kern w:val="0"/>
                <w:sz w:val="22"/>
              </w:rPr>
            </w:pPr>
            <w:r>
              <w:rPr>
                <w:rFonts w:hint="eastAsia" w:ascii="宋体" w:hAnsi="宋体" w:eastAsia="宋体" w:cs="宋体"/>
                <w:color w:val="000000"/>
                <w:kern w:val="0"/>
                <w:sz w:val="22"/>
              </w:rPr>
              <w:t xml:space="preserve">   4.如违背以上承诺，愿意承担相关责任，同意有关主管部门将相关失信信息记入公共信用信息系统。</w:t>
            </w:r>
          </w:p>
        </w:tc>
      </w:tr>
      <w:tr>
        <w:tblPrEx>
          <w:tblCellMar>
            <w:top w:w="0" w:type="dxa"/>
            <w:left w:w="108" w:type="dxa"/>
            <w:bottom w:w="0" w:type="dxa"/>
            <w:right w:w="108" w:type="dxa"/>
          </w:tblCellMar>
        </w:tblPrEx>
        <w:trPr>
          <w:trHeight w:val="439"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2020"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267"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893"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00" w:type="dxa"/>
            <w:tcBorders>
              <w:top w:val="nil"/>
              <w:left w:val="nil"/>
              <w:bottom w:val="nil"/>
              <w:right w:val="single" w:color="auto" w:sz="4" w:space="0"/>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36"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3287" w:type="dxa"/>
            <w:gridSpan w:val="4"/>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项目申报责任人（签名）</w:t>
            </w:r>
          </w:p>
        </w:tc>
        <w:tc>
          <w:tcPr>
            <w:tcW w:w="893" w:type="dxa"/>
            <w:tcBorders>
              <w:top w:val="nil"/>
              <w:left w:val="nil"/>
              <w:bottom w:val="nil"/>
              <w:right w:val="nil"/>
            </w:tcBorders>
            <w:shd w:val="clear" w:color="auto" w:fill="auto"/>
            <w:vAlign w:val="center"/>
          </w:tcPr>
          <w:p>
            <w:pPr>
              <w:widowControl/>
              <w:spacing w:line="600" w:lineRule="exact"/>
              <w:jc w:val="left"/>
              <w:rPr>
                <w:rFonts w:ascii="宋体" w:hAnsi="宋体" w:eastAsia="宋体" w:cs="宋体"/>
                <w:color w:val="000000"/>
                <w:kern w:val="0"/>
                <w:sz w:val="22"/>
              </w:rPr>
            </w:pPr>
          </w:p>
        </w:tc>
        <w:tc>
          <w:tcPr>
            <w:tcW w:w="1000" w:type="dxa"/>
            <w:tcBorders>
              <w:top w:val="nil"/>
              <w:left w:val="nil"/>
              <w:bottom w:val="nil"/>
              <w:right w:val="single" w:color="auto"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35"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tcBorders>
              <w:top w:val="nil"/>
              <w:left w:val="nil"/>
              <w:bottom w:val="nil"/>
            </w:tcBorders>
            <w:shd w:val="clear" w:color="auto" w:fill="auto"/>
          </w:tcPr>
          <w:p>
            <w:pPr>
              <w:widowControl/>
              <w:spacing w:line="600" w:lineRule="exact"/>
              <w:jc w:val="center"/>
              <w:rPr>
                <w:rFonts w:ascii="宋体" w:hAnsi="宋体" w:eastAsia="宋体" w:cs="宋体"/>
                <w:color w:val="000000"/>
                <w:kern w:val="0"/>
                <w:sz w:val="22"/>
              </w:rPr>
            </w:pPr>
          </w:p>
        </w:tc>
        <w:tc>
          <w:tcPr>
            <w:tcW w:w="1080" w:type="dxa"/>
            <w:shd w:val="clear" w:color="auto" w:fill="auto"/>
          </w:tcPr>
          <w:p>
            <w:pPr>
              <w:widowControl/>
              <w:spacing w:line="600" w:lineRule="exact"/>
              <w:jc w:val="center"/>
              <w:rPr>
                <w:rFonts w:ascii="宋体" w:hAnsi="宋体" w:eastAsia="宋体" w:cs="宋体"/>
                <w:color w:val="000000"/>
                <w:kern w:val="0"/>
                <w:sz w:val="22"/>
              </w:rPr>
            </w:pPr>
          </w:p>
        </w:tc>
        <w:tc>
          <w:tcPr>
            <w:tcW w:w="4180" w:type="dxa"/>
            <w:gridSpan w:val="5"/>
            <w:shd w:val="clear" w:color="auto" w:fill="auto"/>
            <w:vAlign w:val="center"/>
          </w:tcPr>
          <w:p>
            <w:pPr>
              <w:widowControl/>
              <w:spacing w:line="600" w:lineRule="exact"/>
              <w:ind w:firstLine="110" w:firstLineChars="50"/>
              <w:jc w:val="left"/>
              <w:rPr>
                <w:rFonts w:ascii="宋体" w:hAnsi="宋体" w:eastAsia="宋体" w:cs="宋体"/>
                <w:color w:val="000000"/>
                <w:kern w:val="0"/>
                <w:sz w:val="22"/>
              </w:rPr>
            </w:pPr>
            <w:r>
              <w:rPr>
                <w:rFonts w:hint="eastAsia" w:ascii="宋体" w:hAnsi="宋体" w:eastAsia="宋体" w:cs="宋体"/>
                <w:color w:val="000000"/>
                <w:kern w:val="0"/>
                <w:sz w:val="22"/>
              </w:rPr>
              <w:t xml:space="preserve">单位负责人（签名）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（公章） </w:t>
            </w:r>
          </w:p>
        </w:tc>
        <w:tc>
          <w:tcPr>
            <w:tcW w:w="1000" w:type="dxa"/>
            <w:tcBorders>
              <w:top w:val="nil"/>
              <w:left w:val="nil"/>
              <w:bottom w:val="nil"/>
              <w:right w:val="single" w:color="auto" w:sz="4" w:space="0"/>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558" w:hRule="atLeast"/>
          <w:jc w:val="center"/>
        </w:trPr>
        <w:tc>
          <w:tcPr>
            <w:tcW w:w="1500" w:type="dxa"/>
            <w:tcBorders>
              <w:top w:val="nil"/>
              <w:left w:val="single" w:color="auto" w:sz="4" w:space="0"/>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gridSpan w:val="2"/>
            <w:tcBorders>
              <w:top w:val="nil"/>
              <w:left w:val="nil"/>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left w:val="nil"/>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20" w:type="dxa"/>
            <w:gridSpan w:val="2"/>
            <w:tcBorders>
              <w:left w:val="nil"/>
              <w:bottom w:val="single" w:color="auto" w:sz="4" w:space="0"/>
              <w:right w:val="nil"/>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日期：</w:t>
            </w:r>
          </w:p>
        </w:tc>
        <w:tc>
          <w:tcPr>
            <w:tcW w:w="1267" w:type="dxa"/>
            <w:gridSpan w:val="2"/>
            <w:tcBorders>
              <w:left w:val="nil"/>
              <w:bottom w:val="single" w:color="auto" w:sz="4" w:space="0"/>
              <w:right w:val="nil"/>
            </w:tcBorders>
            <w:shd w:val="clear" w:color="auto" w:fill="auto"/>
            <w:vAlign w:val="center"/>
          </w:tcPr>
          <w:p>
            <w:pPr>
              <w:widowControl/>
              <w:spacing w:line="60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left w:val="nil"/>
              <w:bottom w:val="single" w:color="auto" w:sz="4" w:space="0"/>
              <w:right w:val="nil"/>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tcPr>
          <w:p>
            <w:pPr>
              <w:widowControl/>
              <w:spacing w:line="60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right="0" w:rightChars="0"/>
        <w:jc w:val="both"/>
        <w:rPr>
          <w:rFonts w:hint="eastAsia" w:ascii="仿宋_GB2312" w:hAnsi="Calibri" w:eastAsia="仿宋_GB2312" w:cs="仿宋_GB2312"/>
          <w:kern w:val="2"/>
          <w:sz w:val="32"/>
          <w:szCs w:val="32"/>
          <w:highlight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atLeast"/>
        <w:ind w:right="0" w:rightChars="0"/>
        <w:jc w:val="both"/>
        <w:rPr>
          <w:rFonts w:hint="eastAsia" w:ascii="仿宋_GB2312" w:hAnsi="Calibri" w:eastAsia="仿宋_GB2312" w:cs="仿宋_GB2312"/>
          <w:kern w:val="2"/>
          <w:sz w:val="32"/>
          <w:szCs w:val="32"/>
          <w:highlight w:val="none"/>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3A7854-F590-4770-BB6C-DCA333CFB8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07A07A1-7D38-447D-8131-044F66D6D723}"/>
  </w:font>
  <w:font w:name="仿宋_GB2312">
    <w:panose1 w:val="02010609030101010101"/>
    <w:charset w:val="86"/>
    <w:family w:val="modern"/>
    <w:pitch w:val="default"/>
    <w:sig w:usb0="00000001" w:usb1="080E0000" w:usb2="00000000" w:usb3="00000000" w:csb0="00040000" w:csb1="00000000"/>
    <w:embedRegular r:id="rId3" w:fontKey="{40B986A1-5E8C-4F7A-9288-AC8AAFADB08D}"/>
  </w:font>
  <w:font w:name="方正小标宋简体">
    <w:panose1 w:val="03000509000000000000"/>
    <w:charset w:val="86"/>
    <w:family w:val="script"/>
    <w:pitch w:val="default"/>
    <w:sig w:usb0="00000001" w:usb1="080E0000" w:usb2="00000000" w:usb3="00000000" w:csb0="00040000" w:csb1="00000000"/>
    <w:embedRegular r:id="rId4" w:fontKey="{022741DB-3202-45E9-BEE4-C470FA1D8E1F}"/>
  </w:font>
  <w:font w:name="楷体_GB2312">
    <w:panose1 w:val="02010609030101010101"/>
    <w:charset w:val="86"/>
    <w:family w:val="auto"/>
    <w:pitch w:val="default"/>
    <w:sig w:usb0="00000001" w:usb1="080E0000" w:usb2="00000000" w:usb3="00000000" w:csb0="00040000" w:csb1="00000000"/>
    <w:embedRegular r:id="rId5" w:fontKey="{090B6DE3-935D-4ACC-8355-615BFAC3325A}"/>
  </w:font>
  <w:font w:name="方正黑体_GBK">
    <w:altName w:val="微软雅黑"/>
    <w:panose1 w:val="03000509000000000000"/>
    <w:charset w:val="86"/>
    <w:family w:val="script"/>
    <w:pitch w:val="default"/>
    <w:sig w:usb0="00000000" w:usb1="00000000" w:usb2="00000000" w:usb3="00000000" w:csb0="00040000" w:csb1="00000000"/>
    <w:embedRegular r:id="rId6" w:fontKey="{B3F2380F-9677-4812-B37F-D39A0143C681}"/>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7" w:fontKey="{35BEA6CA-4C6B-49F7-AB80-5BC0A7CF67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8075F"/>
    <w:multiLevelType w:val="singleLevel"/>
    <w:tmpl w:val="2F4807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YjVkMzA1ZWQ0YTVmZTg0ODM5ZGExZmZiYTU5MTMifQ=="/>
  </w:docVars>
  <w:rsids>
    <w:rsidRoot w:val="00000000"/>
    <w:rsid w:val="11F75236"/>
    <w:rsid w:val="1A27651F"/>
    <w:rsid w:val="1DCA0AC5"/>
    <w:rsid w:val="26C915F6"/>
    <w:rsid w:val="30286D1A"/>
    <w:rsid w:val="3EEC0972"/>
    <w:rsid w:val="40832FAA"/>
    <w:rsid w:val="47E32E09"/>
    <w:rsid w:val="48DB361D"/>
    <w:rsid w:val="4B6118E3"/>
    <w:rsid w:val="5163680C"/>
    <w:rsid w:val="53C41B44"/>
    <w:rsid w:val="569D079D"/>
    <w:rsid w:val="5C186C83"/>
    <w:rsid w:val="5EDC02E9"/>
    <w:rsid w:val="62872FCF"/>
    <w:rsid w:val="6BBF4CB6"/>
    <w:rsid w:val="756737D4"/>
    <w:rsid w:val="75D6735E"/>
    <w:rsid w:val="7EEA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仿宋_GB2312"/>
      <w:szCs w:val="24"/>
    </w:r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1548</Words>
  <Characters>1705</Characters>
  <Lines>0</Lines>
  <Paragraphs>0</Paragraphs>
  <TotalTime>29</TotalTime>
  <ScaleCrop>false</ScaleCrop>
  <LinksUpToDate>false</LinksUpToDate>
  <CharactersWithSpaces>1844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2022-06-22T05:36:00Z</dcterms:created>
  <dc:creator>Administrator</dc:creator>
  <cp:lastModifiedBy>王君祎</cp:lastModifiedBy>
  <cp:lastPrinted>2022-06-23T08:07:45Z</cp:lastPrinted>
  <dcterms:modified xsi:type="dcterms:W3CDTF">2022-06-23T08:32:27Z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3433D0EB8E724F3A8978AA2F132D1442</vt:lpwstr>
  </property>
</Properties>
</file>