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95" w:rsidRDefault="00D66AE8">
      <w:pPr>
        <w:pStyle w:val="Default"/>
        <w:jc w:val="center"/>
        <w:rPr>
          <w:rFonts w:ascii="方正小标宋简体" w:eastAsia="方正小标宋简体"/>
          <w:sz w:val="44"/>
          <w:szCs w:val="44"/>
        </w:rPr>
      </w:pPr>
      <w:r>
        <w:rPr>
          <w:rFonts w:ascii="方正小标宋简体" w:eastAsia="方正小标宋简体" w:hint="eastAsia"/>
          <w:sz w:val="44"/>
          <w:szCs w:val="44"/>
        </w:rPr>
        <w:t>嘉定区专利工作示范企业认定标准（</w:t>
      </w:r>
      <w:r>
        <w:rPr>
          <w:rFonts w:ascii="方正小标宋简体" w:eastAsia="方正小标宋简体" w:hint="eastAsia"/>
          <w:sz w:val="44"/>
          <w:szCs w:val="44"/>
        </w:rPr>
        <w:t>2022</w:t>
      </w:r>
      <w:r>
        <w:rPr>
          <w:rFonts w:ascii="方正小标宋简体" w:eastAsia="方正小标宋简体" w:hint="eastAsia"/>
          <w:sz w:val="44"/>
          <w:szCs w:val="44"/>
        </w:rPr>
        <w:t>版）</w:t>
      </w:r>
    </w:p>
    <w:p w:rsidR="00AA4A95" w:rsidRDefault="00D66AE8">
      <w:pPr>
        <w:pStyle w:val="Default"/>
        <w:jc w:val="center"/>
        <w:rPr>
          <w:rFonts w:ascii="方正小标宋简体" w:eastAsia="方正小标宋简体"/>
          <w:sz w:val="44"/>
          <w:szCs w:val="44"/>
        </w:rPr>
      </w:pPr>
      <w:r>
        <w:rPr>
          <w:rFonts w:ascii="方正小标宋简体" w:eastAsia="方正小标宋简体" w:hint="eastAsia"/>
          <w:sz w:val="44"/>
          <w:szCs w:val="44"/>
        </w:rPr>
        <w:t>（总分</w:t>
      </w:r>
      <w:r>
        <w:rPr>
          <w:rFonts w:ascii="方正小标宋简体" w:eastAsia="方正小标宋简体" w:hint="eastAsia"/>
          <w:sz w:val="44"/>
          <w:szCs w:val="44"/>
        </w:rPr>
        <w:t>100</w:t>
      </w:r>
      <w:r>
        <w:rPr>
          <w:rFonts w:ascii="方正小标宋简体" w:eastAsia="方正小标宋简体" w:hint="eastAsia"/>
          <w:sz w:val="44"/>
          <w:szCs w:val="44"/>
        </w:rPr>
        <w:t>分）</w:t>
      </w:r>
    </w:p>
    <w:tbl>
      <w:tblPr>
        <w:tblStyle w:val="a3"/>
        <w:tblW w:w="0" w:type="auto"/>
        <w:tblLook w:val="04A0"/>
      </w:tblPr>
      <w:tblGrid>
        <w:gridCol w:w="2235"/>
        <w:gridCol w:w="1559"/>
        <w:gridCol w:w="3827"/>
        <w:gridCol w:w="709"/>
      </w:tblGrid>
      <w:tr w:rsidR="00D66AE8" w:rsidTr="000B5FB3">
        <w:trPr>
          <w:trHeight w:val="672"/>
        </w:trPr>
        <w:tc>
          <w:tcPr>
            <w:tcW w:w="2235" w:type="dxa"/>
            <w:vAlign w:val="center"/>
          </w:tcPr>
          <w:p w:rsidR="00D66AE8" w:rsidRDefault="00D66AE8">
            <w:pPr>
              <w:pStyle w:val="Default"/>
              <w:jc w:val="center"/>
              <w:rPr>
                <w:rFonts w:ascii="黑体" w:eastAsia="黑体" w:hAnsi="黑体"/>
              </w:rPr>
            </w:pPr>
            <w:r>
              <w:rPr>
                <w:rFonts w:ascii="黑体" w:eastAsia="黑体" w:hAnsi="黑体" w:hint="eastAsia"/>
              </w:rPr>
              <w:t>指标类型</w:t>
            </w:r>
          </w:p>
        </w:tc>
        <w:tc>
          <w:tcPr>
            <w:tcW w:w="1559" w:type="dxa"/>
            <w:vAlign w:val="center"/>
          </w:tcPr>
          <w:p w:rsidR="00D66AE8" w:rsidRDefault="00D66AE8">
            <w:pPr>
              <w:pStyle w:val="Default"/>
              <w:jc w:val="center"/>
              <w:rPr>
                <w:rFonts w:ascii="黑体" w:eastAsia="黑体" w:hAnsi="黑体"/>
              </w:rPr>
            </w:pPr>
            <w:r>
              <w:rPr>
                <w:rFonts w:ascii="黑体" w:eastAsia="黑体" w:hAnsi="黑体" w:hint="eastAsia"/>
              </w:rPr>
              <w:t>指标名称</w:t>
            </w:r>
          </w:p>
        </w:tc>
        <w:tc>
          <w:tcPr>
            <w:tcW w:w="3827" w:type="dxa"/>
            <w:vAlign w:val="center"/>
          </w:tcPr>
          <w:p w:rsidR="00D66AE8" w:rsidRDefault="00D66AE8">
            <w:pPr>
              <w:pStyle w:val="Default"/>
              <w:jc w:val="center"/>
              <w:rPr>
                <w:rFonts w:ascii="黑体" w:eastAsia="黑体" w:hAnsi="黑体"/>
              </w:rPr>
            </w:pPr>
            <w:r>
              <w:rPr>
                <w:rFonts w:ascii="黑体" w:eastAsia="黑体" w:hAnsi="黑体" w:hint="eastAsia"/>
              </w:rPr>
              <w:t>指标要求</w:t>
            </w:r>
          </w:p>
        </w:tc>
        <w:tc>
          <w:tcPr>
            <w:tcW w:w="709" w:type="dxa"/>
            <w:vAlign w:val="center"/>
          </w:tcPr>
          <w:p w:rsidR="00D66AE8" w:rsidRDefault="00D66AE8">
            <w:pPr>
              <w:pStyle w:val="Default"/>
              <w:jc w:val="center"/>
              <w:rPr>
                <w:rFonts w:ascii="黑体" w:eastAsia="黑体" w:hAnsi="黑体"/>
              </w:rPr>
            </w:pPr>
            <w:r>
              <w:rPr>
                <w:rFonts w:ascii="黑体" w:eastAsia="黑体" w:hAnsi="黑体" w:hint="eastAsia"/>
              </w:rPr>
              <w:t>分值</w:t>
            </w:r>
          </w:p>
        </w:tc>
      </w:tr>
      <w:tr w:rsidR="00D66AE8" w:rsidTr="000B5FB3">
        <w:trPr>
          <w:trHeight w:val="1121"/>
        </w:trPr>
        <w:tc>
          <w:tcPr>
            <w:tcW w:w="2235" w:type="dxa"/>
            <w:vMerge w:val="restart"/>
            <w:vAlign w:val="center"/>
          </w:tcPr>
          <w:p w:rsidR="00D66AE8" w:rsidRDefault="00D66AE8" w:rsidP="00775887">
            <w:pPr>
              <w:pStyle w:val="Default"/>
              <w:jc w:val="center"/>
              <w:rPr>
                <w:rFonts w:ascii="黑体" w:eastAsia="黑体" w:hAnsi="黑体"/>
              </w:rPr>
            </w:pPr>
            <w:r>
              <w:rPr>
                <w:rFonts w:ascii="宋体" w:eastAsia="宋体" w:hAnsi="宋体" w:hint="eastAsia"/>
                <w:sz w:val="21"/>
                <w:szCs w:val="21"/>
              </w:rPr>
              <w:t>企业基本条件（15分）</w:t>
            </w:r>
          </w:p>
        </w:tc>
        <w:tc>
          <w:tcPr>
            <w:tcW w:w="1559" w:type="dxa"/>
            <w:vAlign w:val="center"/>
          </w:tcPr>
          <w:p w:rsidR="00D66AE8" w:rsidRDefault="00D66AE8" w:rsidP="00613FE8">
            <w:pPr>
              <w:pStyle w:val="Default"/>
              <w:rPr>
                <w:rFonts w:ascii="宋体" w:eastAsia="宋体" w:hAnsi="宋体" w:cs="宋体"/>
                <w:snapToGrid w:val="0"/>
                <w:color w:val="auto"/>
                <w:sz w:val="21"/>
                <w:szCs w:val="21"/>
              </w:rPr>
            </w:pPr>
            <w:r>
              <w:rPr>
                <w:rFonts w:ascii="宋体" w:eastAsia="宋体" w:hAnsi="宋体" w:cs="宋体" w:hint="eastAsia"/>
                <w:snapToGrid w:val="0"/>
                <w:color w:val="auto"/>
                <w:sz w:val="21"/>
                <w:szCs w:val="21"/>
              </w:rPr>
              <w:t>专利战略</w:t>
            </w:r>
          </w:p>
        </w:tc>
        <w:tc>
          <w:tcPr>
            <w:tcW w:w="3827" w:type="dxa"/>
            <w:vAlign w:val="center"/>
          </w:tcPr>
          <w:p w:rsidR="00D66AE8" w:rsidRDefault="00D66AE8">
            <w:pPr>
              <w:pStyle w:val="Default"/>
              <w:jc w:val="center"/>
              <w:rPr>
                <w:rFonts w:ascii="宋体" w:eastAsia="宋体" w:hAnsi="宋体" w:cs="宋体"/>
                <w:snapToGrid w:val="0"/>
                <w:color w:val="auto"/>
                <w:sz w:val="21"/>
                <w:szCs w:val="21"/>
              </w:rPr>
            </w:pPr>
            <w:r>
              <w:rPr>
                <w:rFonts w:ascii="宋体" w:eastAsia="宋体" w:hAnsi="宋体" w:cs="宋体" w:hint="eastAsia"/>
                <w:snapToGrid w:val="0"/>
                <w:color w:val="auto"/>
                <w:sz w:val="21"/>
                <w:szCs w:val="21"/>
              </w:rPr>
              <w:t>具有专利战略思维</w:t>
            </w:r>
          </w:p>
        </w:tc>
        <w:tc>
          <w:tcPr>
            <w:tcW w:w="709" w:type="dxa"/>
            <w:vAlign w:val="center"/>
          </w:tcPr>
          <w:p w:rsidR="00D66AE8" w:rsidRDefault="00D66AE8">
            <w:pPr>
              <w:pStyle w:val="Default"/>
              <w:jc w:val="center"/>
              <w:rPr>
                <w:rFonts w:ascii="宋体" w:eastAsia="宋体" w:hAnsi="宋体" w:cs="宋体"/>
                <w:snapToGrid w:val="0"/>
                <w:color w:val="auto"/>
                <w:sz w:val="21"/>
                <w:szCs w:val="21"/>
              </w:rPr>
            </w:pPr>
            <w:r>
              <w:rPr>
                <w:rFonts w:ascii="宋体" w:eastAsia="宋体" w:hAnsi="宋体" w:cs="宋体" w:hint="eastAsia"/>
                <w:snapToGrid w:val="0"/>
                <w:color w:val="auto"/>
                <w:sz w:val="21"/>
                <w:szCs w:val="21"/>
              </w:rPr>
              <w:t>3</w:t>
            </w:r>
          </w:p>
        </w:tc>
      </w:tr>
      <w:tr w:rsidR="00D66AE8" w:rsidTr="000B5FB3">
        <w:trPr>
          <w:trHeight w:val="1279"/>
        </w:trPr>
        <w:tc>
          <w:tcPr>
            <w:tcW w:w="2235" w:type="dxa"/>
            <w:vMerge/>
            <w:vAlign w:val="center"/>
          </w:tcPr>
          <w:p w:rsidR="00D66AE8" w:rsidRDefault="00D66AE8">
            <w:pPr>
              <w:pStyle w:val="Default"/>
              <w:jc w:val="center"/>
              <w:rPr>
                <w:rFonts w:ascii="宋体" w:eastAsia="宋体" w:hAnsi="宋体"/>
                <w:sz w:val="21"/>
                <w:szCs w:val="21"/>
              </w:rPr>
            </w:pPr>
          </w:p>
        </w:tc>
        <w:tc>
          <w:tcPr>
            <w:tcW w:w="1559" w:type="dxa"/>
            <w:vAlign w:val="center"/>
          </w:tcPr>
          <w:p w:rsidR="00D66AE8" w:rsidRDefault="00D66AE8">
            <w:pPr>
              <w:pStyle w:val="Default"/>
              <w:rPr>
                <w:rFonts w:ascii="宋体" w:eastAsia="宋体" w:hAnsi="宋体"/>
                <w:sz w:val="21"/>
                <w:szCs w:val="21"/>
              </w:rPr>
            </w:pPr>
            <w:r>
              <w:rPr>
                <w:rFonts w:ascii="宋体" w:eastAsia="宋体" w:hAnsi="宋体" w:hint="eastAsia"/>
                <w:sz w:val="21"/>
                <w:szCs w:val="21"/>
              </w:rPr>
              <w:t>产业领域</w:t>
            </w:r>
          </w:p>
        </w:tc>
        <w:tc>
          <w:tcPr>
            <w:tcW w:w="3827" w:type="dxa"/>
            <w:vAlign w:val="center"/>
          </w:tcPr>
          <w:p w:rsidR="00D66AE8" w:rsidRDefault="00D66AE8">
            <w:pPr>
              <w:pStyle w:val="Default"/>
              <w:rPr>
                <w:rFonts w:ascii="宋体" w:eastAsia="宋体" w:hAnsi="宋体"/>
                <w:sz w:val="21"/>
                <w:szCs w:val="21"/>
              </w:rPr>
            </w:pPr>
            <w:r>
              <w:rPr>
                <w:rFonts w:ascii="宋体" w:eastAsia="宋体" w:cs="宋体" w:hint="eastAsia"/>
                <w:sz w:val="21"/>
                <w:szCs w:val="21"/>
              </w:rPr>
              <w:t>重点支持战略性新兴产业，优先嘉定区“3+1”重点产业</w:t>
            </w:r>
          </w:p>
        </w:tc>
        <w:tc>
          <w:tcPr>
            <w:tcW w:w="709" w:type="dxa"/>
            <w:vAlign w:val="center"/>
          </w:tcPr>
          <w:p w:rsidR="00D66AE8" w:rsidRDefault="00D66AE8">
            <w:pPr>
              <w:pStyle w:val="Default"/>
              <w:jc w:val="center"/>
              <w:rPr>
                <w:rFonts w:ascii="宋体" w:eastAsia="宋体" w:hAnsi="宋体"/>
                <w:sz w:val="21"/>
                <w:szCs w:val="21"/>
              </w:rPr>
            </w:pPr>
            <w:r>
              <w:rPr>
                <w:rFonts w:ascii="宋体" w:eastAsia="宋体" w:hAnsi="宋体" w:hint="eastAsia"/>
                <w:sz w:val="21"/>
                <w:szCs w:val="21"/>
              </w:rPr>
              <w:t>3</w:t>
            </w:r>
          </w:p>
        </w:tc>
      </w:tr>
      <w:tr w:rsidR="00D66AE8" w:rsidTr="000B5FB3">
        <w:trPr>
          <w:trHeight w:val="1099"/>
        </w:trPr>
        <w:tc>
          <w:tcPr>
            <w:tcW w:w="2235" w:type="dxa"/>
            <w:vMerge/>
            <w:vAlign w:val="center"/>
          </w:tcPr>
          <w:p w:rsidR="00D66AE8" w:rsidRDefault="00D66AE8">
            <w:pPr>
              <w:pStyle w:val="Default"/>
              <w:jc w:val="center"/>
              <w:rPr>
                <w:rFonts w:ascii="宋体" w:eastAsia="宋体" w:hAnsi="宋体"/>
                <w:sz w:val="21"/>
                <w:szCs w:val="21"/>
              </w:rPr>
            </w:pPr>
          </w:p>
        </w:tc>
        <w:tc>
          <w:tcPr>
            <w:tcW w:w="1559"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诚信经营</w:t>
            </w:r>
          </w:p>
        </w:tc>
        <w:tc>
          <w:tcPr>
            <w:tcW w:w="3827"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企业依法诚信经营，无非正常专利申请、商标恶意抢注等行为；无不良诚信记录</w:t>
            </w:r>
          </w:p>
        </w:tc>
        <w:tc>
          <w:tcPr>
            <w:tcW w:w="709"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2</w:t>
            </w:r>
          </w:p>
        </w:tc>
      </w:tr>
      <w:tr w:rsidR="00D66AE8" w:rsidTr="000B5FB3">
        <w:trPr>
          <w:trHeight w:val="790"/>
        </w:trPr>
        <w:tc>
          <w:tcPr>
            <w:tcW w:w="2235" w:type="dxa"/>
            <w:vMerge/>
            <w:vAlign w:val="center"/>
          </w:tcPr>
          <w:p w:rsidR="00D66AE8" w:rsidRDefault="00D66AE8">
            <w:pPr>
              <w:pStyle w:val="Default"/>
              <w:jc w:val="center"/>
              <w:rPr>
                <w:rFonts w:ascii="宋体" w:eastAsia="宋体" w:hAnsi="宋体"/>
                <w:sz w:val="21"/>
                <w:szCs w:val="21"/>
              </w:rPr>
            </w:pPr>
          </w:p>
        </w:tc>
        <w:tc>
          <w:tcPr>
            <w:tcW w:w="1559"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经营状况</w:t>
            </w:r>
          </w:p>
        </w:tc>
        <w:tc>
          <w:tcPr>
            <w:tcW w:w="3827"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经营状况良好，近两年保持盈利和纳税，有增长</w:t>
            </w:r>
          </w:p>
        </w:tc>
        <w:tc>
          <w:tcPr>
            <w:tcW w:w="709"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3</w:t>
            </w:r>
          </w:p>
        </w:tc>
      </w:tr>
      <w:tr w:rsidR="00D66AE8" w:rsidTr="000B5FB3">
        <w:trPr>
          <w:trHeight w:val="752"/>
        </w:trPr>
        <w:tc>
          <w:tcPr>
            <w:tcW w:w="2235" w:type="dxa"/>
            <w:vMerge/>
            <w:vAlign w:val="center"/>
          </w:tcPr>
          <w:p w:rsidR="00D66AE8" w:rsidRDefault="00D66AE8">
            <w:pPr>
              <w:pStyle w:val="Default"/>
              <w:jc w:val="center"/>
              <w:rPr>
                <w:rFonts w:ascii="宋体" w:eastAsia="宋体" w:hAnsi="宋体"/>
                <w:sz w:val="21"/>
                <w:szCs w:val="21"/>
              </w:rPr>
            </w:pPr>
          </w:p>
        </w:tc>
        <w:tc>
          <w:tcPr>
            <w:tcW w:w="1559"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研发投入</w:t>
            </w:r>
          </w:p>
        </w:tc>
        <w:tc>
          <w:tcPr>
            <w:tcW w:w="3827"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企业有研发经费投入，研发经费占企业营业收入比例≥</w:t>
            </w:r>
            <w:r>
              <w:rPr>
                <w:rFonts w:ascii="Arial" w:eastAsia="宋体" w:hAnsi="Arial" w:cs="Arial" w:hint="eastAsia"/>
                <w:sz w:val="21"/>
                <w:szCs w:val="21"/>
              </w:rPr>
              <w:t>3</w:t>
            </w:r>
            <w:r>
              <w:rPr>
                <w:rFonts w:ascii="Arial" w:eastAsia="宋体" w:hAnsi="Arial" w:cs="Arial"/>
                <w:sz w:val="21"/>
                <w:szCs w:val="21"/>
              </w:rPr>
              <w:t>%</w:t>
            </w:r>
          </w:p>
        </w:tc>
        <w:tc>
          <w:tcPr>
            <w:tcW w:w="709"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2</w:t>
            </w:r>
          </w:p>
        </w:tc>
      </w:tr>
      <w:tr w:rsidR="00D66AE8" w:rsidTr="000B5FB3">
        <w:tc>
          <w:tcPr>
            <w:tcW w:w="2235" w:type="dxa"/>
            <w:vMerge/>
            <w:vAlign w:val="center"/>
          </w:tcPr>
          <w:p w:rsidR="00D66AE8" w:rsidRDefault="00D66AE8">
            <w:pPr>
              <w:pStyle w:val="Default"/>
              <w:jc w:val="center"/>
              <w:rPr>
                <w:rFonts w:ascii="宋体" w:eastAsia="宋体" w:hAnsi="宋体"/>
                <w:sz w:val="21"/>
                <w:szCs w:val="21"/>
              </w:rPr>
            </w:pPr>
          </w:p>
        </w:tc>
        <w:tc>
          <w:tcPr>
            <w:tcW w:w="1559"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知识产权经费投入</w:t>
            </w:r>
          </w:p>
        </w:tc>
        <w:tc>
          <w:tcPr>
            <w:tcW w:w="3827"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近两年知识产权经费有投入，保持增长</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hint="eastAsia"/>
                <w:color w:val="000000"/>
                <w:kern w:val="0"/>
                <w:szCs w:val="21"/>
              </w:rPr>
              <w:t>2</w:t>
            </w:r>
          </w:p>
        </w:tc>
      </w:tr>
      <w:tr w:rsidR="00D66AE8" w:rsidTr="000B5FB3">
        <w:trPr>
          <w:trHeight w:val="702"/>
        </w:trPr>
        <w:tc>
          <w:tcPr>
            <w:tcW w:w="2235" w:type="dxa"/>
            <w:vMerge w:val="restart"/>
            <w:vAlign w:val="center"/>
          </w:tcPr>
          <w:p w:rsidR="00D66AE8" w:rsidRDefault="00D66AE8">
            <w:pPr>
              <w:pStyle w:val="Default"/>
              <w:jc w:val="center"/>
              <w:rPr>
                <w:rFonts w:ascii="宋体" w:eastAsia="宋体" w:hAnsi="宋体"/>
                <w:sz w:val="21"/>
                <w:szCs w:val="21"/>
              </w:rPr>
            </w:pPr>
            <w:r>
              <w:rPr>
                <w:rFonts w:ascii="宋体" w:eastAsia="宋体" w:cs="宋体" w:hint="eastAsia"/>
                <w:sz w:val="21"/>
                <w:szCs w:val="21"/>
              </w:rPr>
              <w:t>知识产权机构和制度（</w:t>
            </w:r>
            <w:r>
              <w:rPr>
                <w:rFonts w:ascii="Times New Roman" w:eastAsia="宋体" w:hAnsi="Times New Roman" w:cs="Times New Roman" w:hint="eastAsia"/>
                <w:sz w:val="21"/>
                <w:szCs w:val="21"/>
              </w:rPr>
              <w:t>8</w:t>
            </w:r>
            <w:r>
              <w:rPr>
                <w:rFonts w:ascii="Times New Roman" w:eastAsia="宋体" w:hAnsi="Times New Roman" w:cs="Times New Roman" w:hint="eastAsia"/>
                <w:sz w:val="21"/>
                <w:szCs w:val="21"/>
              </w:rPr>
              <w:t>分</w:t>
            </w:r>
            <w:r>
              <w:rPr>
                <w:rFonts w:ascii="宋体" w:eastAsia="宋体" w:hAnsi="Times New Roman" w:cs="宋体" w:hint="eastAsia"/>
                <w:sz w:val="21"/>
                <w:szCs w:val="21"/>
              </w:rPr>
              <w:t>）</w:t>
            </w:r>
          </w:p>
        </w:tc>
        <w:tc>
          <w:tcPr>
            <w:tcW w:w="1559" w:type="dxa"/>
            <w:vAlign w:val="center"/>
          </w:tcPr>
          <w:p w:rsidR="00D66AE8" w:rsidRDefault="00D66AE8">
            <w:pPr>
              <w:pStyle w:val="Default"/>
              <w:rPr>
                <w:rFonts w:ascii="宋体" w:eastAsia="宋体" w:hAnsi="Times New Roman" w:cs="宋体"/>
                <w:sz w:val="21"/>
                <w:szCs w:val="21"/>
              </w:rPr>
            </w:pPr>
            <w:r>
              <w:rPr>
                <w:rFonts w:ascii="宋体" w:eastAsia="宋体" w:cs="宋体" w:hint="eastAsia"/>
                <w:sz w:val="21"/>
                <w:szCs w:val="21"/>
              </w:rPr>
              <w:t>机构</w:t>
            </w:r>
            <w:r>
              <w:rPr>
                <w:rFonts w:ascii="宋体" w:eastAsia="宋体" w:cs="宋体"/>
                <w:sz w:val="21"/>
                <w:szCs w:val="21"/>
              </w:rPr>
              <w:t>设置</w:t>
            </w:r>
          </w:p>
        </w:tc>
        <w:tc>
          <w:tcPr>
            <w:tcW w:w="3827"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设置</w:t>
            </w:r>
            <w:r>
              <w:rPr>
                <w:rFonts w:ascii="宋体" w:eastAsia="宋体" w:cs="宋体"/>
                <w:sz w:val="21"/>
                <w:szCs w:val="21"/>
              </w:rPr>
              <w:t>并健全</w:t>
            </w:r>
            <w:r>
              <w:rPr>
                <w:rFonts w:ascii="宋体" w:eastAsia="宋体" w:cs="宋体" w:hint="eastAsia"/>
                <w:sz w:val="21"/>
                <w:szCs w:val="21"/>
              </w:rPr>
              <w:t>知识产权管理机构，有副总以上领导直接管理</w:t>
            </w:r>
          </w:p>
        </w:tc>
        <w:tc>
          <w:tcPr>
            <w:tcW w:w="709"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2</w:t>
            </w:r>
          </w:p>
        </w:tc>
      </w:tr>
      <w:tr w:rsidR="00D66AE8" w:rsidTr="000B5FB3">
        <w:trPr>
          <w:trHeight w:val="1124"/>
        </w:trPr>
        <w:tc>
          <w:tcPr>
            <w:tcW w:w="2235" w:type="dxa"/>
            <w:vMerge/>
            <w:vAlign w:val="center"/>
          </w:tcPr>
          <w:p w:rsidR="00D66AE8" w:rsidRDefault="00D66AE8">
            <w:pPr>
              <w:pStyle w:val="Default"/>
              <w:jc w:val="center"/>
              <w:rPr>
                <w:rFonts w:ascii="宋体" w:eastAsia="宋体" w:cs="宋体"/>
                <w:sz w:val="21"/>
                <w:szCs w:val="21"/>
              </w:rPr>
            </w:pPr>
          </w:p>
        </w:tc>
        <w:tc>
          <w:tcPr>
            <w:tcW w:w="1559"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人员配备</w:t>
            </w:r>
          </w:p>
        </w:tc>
        <w:tc>
          <w:tcPr>
            <w:tcW w:w="3827" w:type="dxa"/>
            <w:vAlign w:val="center"/>
          </w:tcPr>
          <w:p w:rsidR="00D66AE8" w:rsidRDefault="00D66AE8">
            <w:pPr>
              <w:autoSpaceDE w:val="0"/>
              <w:autoSpaceDN w:val="0"/>
              <w:adjustRightInd w:val="0"/>
              <w:jc w:val="left"/>
              <w:rPr>
                <w:rFonts w:ascii="宋体" w:hAnsi="Times New Roman"/>
                <w:color w:val="000000"/>
                <w:kern w:val="0"/>
                <w:szCs w:val="21"/>
              </w:rPr>
            </w:pPr>
            <w:r>
              <w:rPr>
                <w:rFonts w:ascii="宋体" w:hint="eastAsia"/>
                <w:color w:val="000000"/>
                <w:kern w:val="0"/>
                <w:szCs w:val="21"/>
              </w:rPr>
              <w:t>至少配备</w:t>
            </w:r>
            <w:r>
              <w:rPr>
                <w:rFonts w:ascii="Times New Roman" w:hAnsi="Times New Roman" w:cs="Times New Roman"/>
                <w:color w:val="000000"/>
                <w:kern w:val="0"/>
                <w:szCs w:val="21"/>
              </w:rPr>
              <w:t>1</w:t>
            </w:r>
            <w:r>
              <w:rPr>
                <w:rFonts w:ascii="宋体" w:hAnsi="Times New Roman" w:hint="eastAsia"/>
                <w:color w:val="000000"/>
                <w:kern w:val="0"/>
                <w:szCs w:val="21"/>
              </w:rPr>
              <w:t>名专职知识产权管理人员，或者有专利管理工程师或专利代理师</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hint="eastAsia"/>
                <w:color w:val="000000"/>
                <w:kern w:val="0"/>
                <w:szCs w:val="21"/>
              </w:rPr>
              <w:t>2</w:t>
            </w:r>
          </w:p>
        </w:tc>
      </w:tr>
      <w:tr w:rsidR="00D66AE8" w:rsidTr="000B5FB3">
        <w:trPr>
          <w:trHeight w:val="966"/>
        </w:trPr>
        <w:tc>
          <w:tcPr>
            <w:tcW w:w="2235" w:type="dxa"/>
            <w:vMerge/>
            <w:vAlign w:val="center"/>
          </w:tcPr>
          <w:p w:rsidR="00D66AE8" w:rsidRDefault="00D66AE8">
            <w:pPr>
              <w:pStyle w:val="Default"/>
              <w:jc w:val="center"/>
              <w:rPr>
                <w:rFonts w:ascii="宋体" w:eastAsia="宋体" w:cs="宋体"/>
                <w:sz w:val="21"/>
                <w:szCs w:val="21"/>
              </w:rPr>
            </w:pPr>
          </w:p>
        </w:tc>
        <w:tc>
          <w:tcPr>
            <w:tcW w:w="1559" w:type="dxa"/>
            <w:vAlign w:val="center"/>
          </w:tcPr>
          <w:p w:rsidR="00D66AE8" w:rsidRDefault="00D66AE8">
            <w:pPr>
              <w:pStyle w:val="Default"/>
              <w:rPr>
                <w:rFonts w:ascii="宋体" w:eastAsia="宋体" w:cs="宋体"/>
                <w:sz w:val="21"/>
                <w:szCs w:val="21"/>
              </w:rPr>
            </w:pPr>
            <w:r>
              <w:rPr>
                <w:rFonts w:ascii="宋体" w:eastAsia="宋体" w:cs="宋体"/>
                <w:sz w:val="21"/>
                <w:szCs w:val="21"/>
              </w:rPr>
              <w:t>规范管理</w:t>
            </w:r>
          </w:p>
        </w:tc>
        <w:tc>
          <w:tcPr>
            <w:tcW w:w="3827"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t>制定健全知识产权</w:t>
            </w:r>
            <w:r>
              <w:rPr>
                <w:rFonts w:ascii="宋体" w:eastAsia="宋体" w:cs="宋体"/>
                <w:sz w:val="21"/>
                <w:szCs w:val="21"/>
              </w:rPr>
              <w:t>管理</w:t>
            </w:r>
            <w:r>
              <w:rPr>
                <w:rFonts w:ascii="宋体" w:eastAsia="宋体" w:cs="宋体" w:hint="eastAsia"/>
                <w:sz w:val="21"/>
                <w:szCs w:val="21"/>
              </w:rPr>
              <w:t>制度并实施；或者通过知识产权贯标认证</w:t>
            </w:r>
          </w:p>
        </w:tc>
        <w:tc>
          <w:tcPr>
            <w:tcW w:w="709"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4</w:t>
            </w:r>
          </w:p>
        </w:tc>
      </w:tr>
      <w:tr w:rsidR="00D66AE8" w:rsidTr="000B5FB3">
        <w:trPr>
          <w:trHeight w:val="2272"/>
        </w:trPr>
        <w:tc>
          <w:tcPr>
            <w:tcW w:w="2235" w:type="dxa"/>
            <w:vMerge w:val="restart"/>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知识产权创造（</w:t>
            </w:r>
            <w:r>
              <w:rPr>
                <w:rFonts w:ascii="宋体" w:eastAsia="宋体" w:cs="宋体"/>
                <w:sz w:val="21"/>
                <w:szCs w:val="21"/>
              </w:rPr>
              <w:t>2</w:t>
            </w:r>
            <w:r>
              <w:rPr>
                <w:rFonts w:ascii="宋体" w:eastAsia="宋体" w:cs="宋体" w:hint="eastAsia"/>
                <w:sz w:val="21"/>
                <w:szCs w:val="21"/>
              </w:rPr>
              <w:t>4分）</w:t>
            </w:r>
          </w:p>
        </w:tc>
        <w:tc>
          <w:tcPr>
            <w:tcW w:w="1559" w:type="dxa"/>
            <w:vMerge w:val="restart"/>
            <w:vAlign w:val="center"/>
          </w:tcPr>
          <w:p w:rsidR="00D66AE8" w:rsidRDefault="00D66AE8">
            <w:pPr>
              <w:autoSpaceDE w:val="0"/>
              <w:autoSpaceDN w:val="0"/>
              <w:adjustRightInd w:val="0"/>
              <w:jc w:val="left"/>
              <w:rPr>
                <w:rFonts w:ascii="宋体"/>
                <w:color w:val="000000"/>
                <w:kern w:val="0"/>
                <w:szCs w:val="21"/>
              </w:rPr>
            </w:pPr>
            <w:r>
              <w:rPr>
                <w:rFonts w:ascii="宋体"/>
                <w:color w:val="000000"/>
                <w:kern w:val="0"/>
                <w:szCs w:val="21"/>
              </w:rPr>
              <w:t>高质量创造</w:t>
            </w:r>
          </w:p>
        </w:tc>
        <w:tc>
          <w:tcPr>
            <w:tcW w:w="3827" w:type="dxa"/>
            <w:vAlign w:val="center"/>
          </w:tcPr>
          <w:p w:rsidR="00D66AE8" w:rsidRDefault="00D66AE8" w:rsidP="007621A7">
            <w:pPr>
              <w:autoSpaceDE w:val="0"/>
              <w:autoSpaceDN w:val="0"/>
              <w:adjustRightInd w:val="0"/>
              <w:jc w:val="left"/>
              <w:rPr>
                <w:rFonts w:ascii="宋体" w:hAnsi="Times New Roman"/>
                <w:color w:val="000000"/>
                <w:kern w:val="0"/>
                <w:szCs w:val="21"/>
              </w:rPr>
            </w:pPr>
            <w:r>
              <w:rPr>
                <w:rFonts w:ascii="宋体" w:hint="eastAsia"/>
                <w:color w:val="000000"/>
                <w:kern w:val="0"/>
                <w:szCs w:val="21"/>
              </w:rPr>
              <w:t>鼓励自主发明创造，注重高价值专利培育；拥有有效发明专利不少于</w:t>
            </w:r>
            <w:r>
              <w:rPr>
                <w:rFonts w:ascii="Times New Roman" w:hAnsi="Times New Roman" w:cs="Times New Roman" w:hint="eastAsia"/>
                <w:color w:val="000000"/>
                <w:kern w:val="0"/>
                <w:szCs w:val="21"/>
              </w:rPr>
              <w:t>3</w:t>
            </w:r>
            <w:r>
              <w:rPr>
                <w:rFonts w:ascii="宋体" w:hAnsi="Times New Roman" w:hint="eastAsia"/>
                <w:color w:val="000000"/>
                <w:kern w:val="0"/>
                <w:szCs w:val="21"/>
              </w:rPr>
              <w:t>件，或有效实用新型专利不少于15件；拥有维持10年以上的发明专利；</w:t>
            </w:r>
            <w:r>
              <w:rPr>
                <w:rFonts w:ascii="宋体" w:hAnsi="Times New Roman"/>
                <w:color w:val="000000"/>
                <w:kern w:val="0"/>
                <w:szCs w:val="21"/>
              </w:rPr>
              <w:t>至少</w:t>
            </w:r>
            <w:r>
              <w:rPr>
                <w:rFonts w:ascii="宋体" w:hAnsi="Times New Roman" w:hint="eastAsia"/>
                <w:color w:val="000000"/>
                <w:kern w:val="0"/>
                <w:szCs w:val="21"/>
              </w:rPr>
              <w:t>拥有1件有效商标</w:t>
            </w:r>
          </w:p>
        </w:tc>
        <w:tc>
          <w:tcPr>
            <w:tcW w:w="709" w:type="dxa"/>
            <w:vAlign w:val="center"/>
          </w:tcPr>
          <w:p w:rsidR="00D66AE8" w:rsidRDefault="00D66AE8">
            <w:pPr>
              <w:autoSpaceDE w:val="0"/>
              <w:autoSpaceDN w:val="0"/>
              <w:adjustRightInd w:val="0"/>
              <w:jc w:val="center"/>
              <w:rPr>
                <w:rFonts w:ascii="宋体" w:hAnsi="Times New Roman"/>
                <w:color w:val="000000"/>
                <w:kern w:val="0"/>
                <w:szCs w:val="21"/>
              </w:rPr>
            </w:pPr>
            <w:r>
              <w:rPr>
                <w:rFonts w:ascii="宋体" w:hAnsi="Times New Roman" w:hint="eastAsia"/>
                <w:color w:val="000000"/>
                <w:kern w:val="0"/>
                <w:szCs w:val="21"/>
              </w:rPr>
              <w:t>8</w:t>
            </w:r>
          </w:p>
        </w:tc>
      </w:tr>
      <w:tr w:rsidR="00D66AE8" w:rsidTr="000B5FB3">
        <w:trPr>
          <w:trHeight w:val="703"/>
        </w:trPr>
        <w:tc>
          <w:tcPr>
            <w:tcW w:w="2235" w:type="dxa"/>
            <w:vMerge/>
            <w:vAlign w:val="center"/>
          </w:tcPr>
          <w:p w:rsidR="00D66AE8" w:rsidRDefault="00D66AE8">
            <w:pPr>
              <w:pStyle w:val="Default"/>
              <w:jc w:val="center"/>
              <w:rPr>
                <w:rFonts w:ascii="宋体" w:eastAsia="宋体" w:cs="宋体"/>
                <w:sz w:val="21"/>
                <w:szCs w:val="21"/>
              </w:rPr>
            </w:pPr>
          </w:p>
        </w:tc>
        <w:tc>
          <w:tcPr>
            <w:tcW w:w="1559" w:type="dxa"/>
            <w:vMerge/>
            <w:vAlign w:val="center"/>
          </w:tcPr>
          <w:p w:rsidR="00D66AE8" w:rsidRDefault="00D66AE8">
            <w:pPr>
              <w:autoSpaceDE w:val="0"/>
              <w:autoSpaceDN w:val="0"/>
              <w:adjustRightInd w:val="0"/>
              <w:jc w:val="left"/>
              <w:rPr>
                <w:rFonts w:ascii="宋体"/>
                <w:color w:val="000000"/>
                <w:kern w:val="0"/>
                <w:szCs w:val="21"/>
              </w:rPr>
            </w:pPr>
          </w:p>
        </w:tc>
        <w:tc>
          <w:tcPr>
            <w:tcW w:w="3827"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外观设计专利、集成电路布局设计、软件著作权等其他有效知识产权拥有量</w:t>
            </w:r>
          </w:p>
        </w:tc>
        <w:tc>
          <w:tcPr>
            <w:tcW w:w="709" w:type="dxa"/>
            <w:vAlign w:val="center"/>
          </w:tcPr>
          <w:p w:rsidR="00D66AE8" w:rsidRDefault="00D66AE8">
            <w:pPr>
              <w:autoSpaceDE w:val="0"/>
              <w:autoSpaceDN w:val="0"/>
              <w:adjustRightInd w:val="0"/>
              <w:jc w:val="center"/>
              <w:rPr>
                <w:rFonts w:ascii="宋体" w:hAnsi="Times New Roman"/>
                <w:color w:val="000000"/>
                <w:kern w:val="0"/>
                <w:szCs w:val="21"/>
              </w:rPr>
            </w:pPr>
            <w:r>
              <w:rPr>
                <w:rFonts w:ascii="宋体" w:hAnsi="Times New Roman"/>
                <w:color w:val="000000"/>
                <w:kern w:val="0"/>
                <w:szCs w:val="21"/>
              </w:rPr>
              <w:t>2</w:t>
            </w:r>
          </w:p>
        </w:tc>
      </w:tr>
      <w:tr w:rsidR="00D66AE8" w:rsidTr="000B5FB3">
        <w:trPr>
          <w:trHeight w:val="1137"/>
        </w:trPr>
        <w:tc>
          <w:tcPr>
            <w:tcW w:w="2235" w:type="dxa"/>
            <w:vMerge/>
            <w:vAlign w:val="center"/>
          </w:tcPr>
          <w:p w:rsidR="00D66AE8" w:rsidRDefault="00D66AE8">
            <w:pPr>
              <w:pStyle w:val="Default"/>
              <w:jc w:val="center"/>
              <w:rPr>
                <w:rFonts w:ascii="宋体" w:eastAsia="宋体" w:cs="宋体"/>
                <w:sz w:val="21"/>
                <w:szCs w:val="21"/>
              </w:rPr>
            </w:pPr>
          </w:p>
        </w:tc>
        <w:tc>
          <w:tcPr>
            <w:tcW w:w="1559" w:type="dxa"/>
            <w:vAlign w:val="center"/>
          </w:tcPr>
          <w:p w:rsidR="00D66AE8" w:rsidRDefault="00D66AE8">
            <w:pPr>
              <w:autoSpaceDE w:val="0"/>
              <w:autoSpaceDN w:val="0"/>
              <w:adjustRightInd w:val="0"/>
              <w:jc w:val="left"/>
              <w:rPr>
                <w:rFonts w:ascii="宋体" w:hAnsi="Arial"/>
                <w:color w:val="000000"/>
                <w:kern w:val="0"/>
                <w:szCs w:val="21"/>
              </w:rPr>
            </w:pPr>
            <w:r>
              <w:rPr>
                <w:rFonts w:ascii="宋体" w:hAnsi="Arial"/>
                <w:color w:val="000000"/>
                <w:kern w:val="0"/>
                <w:szCs w:val="21"/>
              </w:rPr>
              <w:t>海外布局</w:t>
            </w:r>
          </w:p>
        </w:tc>
        <w:tc>
          <w:tcPr>
            <w:tcW w:w="3827" w:type="dxa"/>
            <w:vAlign w:val="center"/>
          </w:tcPr>
          <w:p w:rsidR="00D66AE8" w:rsidRDefault="00D66AE8">
            <w:pPr>
              <w:autoSpaceDE w:val="0"/>
              <w:autoSpaceDN w:val="0"/>
              <w:adjustRightInd w:val="0"/>
              <w:jc w:val="left"/>
              <w:rPr>
                <w:rFonts w:ascii="宋体" w:hAnsi="Arial"/>
                <w:color w:val="000000"/>
                <w:kern w:val="0"/>
                <w:szCs w:val="21"/>
              </w:rPr>
            </w:pPr>
            <w:r>
              <w:rPr>
                <w:rFonts w:ascii="宋体"/>
                <w:color w:val="000000"/>
                <w:kern w:val="0"/>
                <w:szCs w:val="21"/>
              </w:rPr>
              <w:t>通过</w:t>
            </w:r>
            <w:r>
              <w:rPr>
                <w:rFonts w:ascii="Arial" w:hAnsi="Arial" w:cs="Arial"/>
                <w:color w:val="000000"/>
                <w:kern w:val="0"/>
                <w:szCs w:val="21"/>
              </w:rPr>
              <w:t>PCT</w:t>
            </w:r>
            <w:r>
              <w:rPr>
                <w:rFonts w:ascii="Arial" w:hAnsi="Arial" w:cs="Arial"/>
                <w:color w:val="000000"/>
                <w:kern w:val="0"/>
                <w:szCs w:val="21"/>
              </w:rPr>
              <w:t>条约</w:t>
            </w:r>
            <w:r>
              <w:rPr>
                <w:rFonts w:ascii="Arial" w:hAnsi="Arial" w:cs="Arial" w:hint="eastAsia"/>
                <w:color w:val="000000"/>
                <w:kern w:val="0"/>
                <w:szCs w:val="21"/>
              </w:rPr>
              <w:t>、</w:t>
            </w:r>
            <w:r>
              <w:rPr>
                <w:rFonts w:ascii="Arial" w:hAnsi="Arial" w:cs="Arial"/>
                <w:color w:val="000000"/>
                <w:kern w:val="0"/>
                <w:szCs w:val="21"/>
              </w:rPr>
              <w:t>海牙协定</w:t>
            </w:r>
            <w:r>
              <w:rPr>
                <w:rFonts w:ascii="Arial" w:hAnsi="Arial" w:cs="Arial" w:hint="eastAsia"/>
                <w:color w:val="000000"/>
                <w:kern w:val="0"/>
                <w:szCs w:val="21"/>
              </w:rPr>
              <w:t>、</w:t>
            </w:r>
            <w:r>
              <w:rPr>
                <w:rFonts w:ascii="宋体" w:hAnsi="Arial" w:hint="eastAsia"/>
                <w:color w:val="000000"/>
                <w:kern w:val="0"/>
                <w:szCs w:val="21"/>
              </w:rPr>
              <w:t>马德里</w:t>
            </w:r>
            <w:r>
              <w:rPr>
                <w:rFonts w:ascii="宋体" w:hAnsi="Arial"/>
                <w:color w:val="000000"/>
                <w:kern w:val="0"/>
                <w:szCs w:val="21"/>
              </w:rPr>
              <w:t>协定等途径</w:t>
            </w:r>
            <w:r>
              <w:rPr>
                <w:rFonts w:ascii="宋体" w:hAnsi="Arial" w:hint="eastAsia"/>
                <w:color w:val="000000"/>
                <w:kern w:val="0"/>
                <w:szCs w:val="21"/>
              </w:rPr>
              <w:t>，</w:t>
            </w:r>
            <w:r>
              <w:rPr>
                <w:rFonts w:ascii="宋体" w:hAnsi="Arial"/>
                <w:color w:val="000000"/>
                <w:kern w:val="0"/>
                <w:szCs w:val="21"/>
              </w:rPr>
              <w:t>进行海外知识产权布局</w:t>
            </w:r>
            <w:r>
              <w:rPr>
                <w:rFonts w:ascii="宋体" w:hAnsi="Arial" w:hint="eastAsia"/>
                <w:color w:val="000000"/>
                <w:kern w:val="0"/>
                <w:szCs w:val="21"/>
              </w:rPr>
              <w:t>，</w:t>
            </w:r>
            <w:r>
              <w:rPr>
                <w:rFonts w:ascii="宋体" w:hAnsi="Arial"/>
                <w:color w:val="000000"/>
                <w:kern w:val="0"/>
                <w:szCs w:val="21"/>
              </w:rPr>
              <w:t>开展申请</w:t>
            </w:r>
            <w:r>
              <w:rPr>
                <w:rFonts w:ascii="宋体" w:hAnsi="Arial" w:hint="eastAsia"/>
                <w:color w:val="000000"/>
                <w:kern w:val="0"/>
                <w:szCs w:val="21"/>
              </w:rPr>
              <w:t>，</w:t>
            </w:r>
            <w:r>
              <w:rPr>
                <w:rFonts w:ascii="宋体" w:hAnsi="Arial"/>
                <w:color w:val="000000"/>
                <w:kern w:val="0"/>
                <w:szCs w:val="21"/>
              </w:rPr>
              <w:t>获得授权</w:t>
            </w:r>
            <w:r>
              <w:rPr>
                <w:rFonts w:ascii="宋体" w:hAnsi="Arial" w:hint="eastAsia"/>
                <w:color w:val="000000"/>
                <w:kern w:val="0"/>
                <w:szCs w:val="21"/>
              </w:rPr>
              <w:t>。</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color w:val="000000"/>
                <w:kern w:val="0"/>
                <w:szCs w:val="21"/>
              </w:rPr>
              <w:t>10</w:t>
            </w:r>
          </w:p>
        </w:tc>
      </w:tr>
      <w:tr w:rsidR="00D66AE8" w:rsidTr="000B5FB3">
        <w:trPr>
          <w:trHeight w:val="1138"/>
        </w:trPr>
        <w:tc>
          <w:tcPr>
            <w:tcW w:w="2235" w:type="dxa"/>
            <w:vMerge/>
            <w:vAlign w:val="center"/>
          </w:tcPr>
          <w:p w:rsidR="00D66AE8" w:rsidRDefault="00D66AE8">
            <w:pPr>
              <w:pStyle w:val="Default"/>
              <w:jc w:val="center"/>
              <w:rPr>
                <w:rFonts w:ascii="宋体" w:eastAsia="宋体" w:cs="宋体"/>
                <w:sz w:val="21"/>
                <w:szCs w:val="21"/>
              </w:rPr>
            </w:pPr>
          </w:p>
        </w:tc>
        <w:tc>
          <w:tcPr>
            <w:tcW w:w="1559"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获奖情况</w:t>
            </w:r>
          </w:p>
        </w:tc>
        <w:tc>
          <w:tcPr>
            <w:tcW w:w="3827" w:type="dxa"/>
            <w:vAlign w:val="center"/>
          </w:tcPr>
          <w:p w:rsidR="00D66AE8" w:rsidRDefault="00D66AE8">
            <w:pPr>
              <w:autoSpaceDE w:val="0"/>
              <w:autoSpaceDN w:val="0"/>
              <w:adjustRightInd w:val="0"/>
              <w:jc w:val="left"/>
              <w:rPr>
                <w:rFonts w:ascii="宋体"/>
                <w:color w:val="000000"/>
                <w:kern w:val="0"/>
                <w:szCs w:val="21"/>
              </w:rPr>
            </w:pPr>
            <w:r>
              <w:rPr>
                <w:rFonts w:ascii="宋体" w:hAnsi="Times New Roman" w:hint="eastAsia"/>
                <w:color w:val="000000"/>
                <w:kern w:val="0"/>
                <w:szCs w:val="21"/>
              </w:rPr>
              <w:t>近三年获得中国专利奖、上海市知识产权创新奖、上海市重点商标保护名录、嘉定区重点商标保护名录等荣誉</w:t>
            </w:r>
          </w:p>
        </w:tc>
        <w:tc>
          <w:tcPr>
            <w:tcW w:w="709" w:type="dxa"/>
            <w:vAlign w:val="center"/>
          </w:tcPr>
          <w:p w:rsidR="00D66AE8" w:rsidRDefault="00D66AE8">
            <w:pPr>
              <w:autoSpaceDE w:val="0"/>
              <w:autoSpaceDN w:val="0"/>
              <w:adjustRightInd w:val="0"/>
              <w:jc w:val="center"/>
              <w:rPr>
                <w:rFonts w:ascii="宋体" w:hAnsi="Times New Roman"/>
                <w:color w:val="000000"/>
                <w:kern w:val="0"/>
                <w:szCs w:val="21"/>
              </w:rPr>
            </w:pPr>
            <w:r>
              <w:rPr>
                <w:rFonts w:ascii="宋体" w:hAnsi="Times New Roman"/>
                <w:color w:val="000000"/>
                <w:kern w:val="0"/>
                <w:szCs w:val="21"/>
              </w:rPr>
              <w:t>4</w:t>
            </w:r>
          </w:p>
        </w:tc>
      </w:tr>
      <w:tr w:rsidR="00D66AE8" w:rsidTr="000B5FB3">
        <w:trPr>
          <w:trHeight w:val="1408"/>
        </w:trPr>
        <w:tc>
          <w:tcPr>
            <w:tcW w:w="2235" w:type="dxa"/>
            <w:vMerge w:val="restart"/>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知识产权运用（33分）</w:t>
            </w:r>
          </w:p>
        </w:tc>
        <w:tc>
          <w:tcPr>
            <w:tcW w:w="1559" w:type="dxa"/>
            <w:vAlign w:val="center"/>
          </w:tcPr>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专利</w:t>
            </w:r>
            <w:r>
              <w:rPr>
                <w:rFonts w:ascii="宋体"/>
                <w:color w:val="000000"/>
                <w:kern w:val="0"/>
                <w:szCs w:val="21"/>
              </w:rPr>
              <w:t>转化</w:t>
            </w:r>
          </w:p>
        </w:tc>
        <w:tc>
          <w:tcPr>
            <w:tcW w:w="3827" w:type="dxa"/>
            <w:vAlign w:val="center"/>
          </w:tcPr>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开展专利许可、转让，</w:t>
            </w:r>
            <w:r>
              <w:rPr>
                <w:rFonts w:ascii="宋体"/>
                <w:color w:val="000000"/>
                <w:kern w:val="0"/>
                <w:szCs w:val="21"/>
              </w:rPr>
              <w:t>并在国家知识产权局</w:t>
            </w:r>
            <w:r>
              <w:rPr>
                <w:rFonts w:ascii="宋体" w:hint="eastAsia"/>
                <w:color w:val="000000"/>
                <w:kern w:val="0"/>
                <w:szCs w:val="21"/>
              </w:rPr>
              <w:t>完成登记备案手续；专利许可</w:t>
            </w:r>
            <w:r>
              <w:rPr>
                <w:rFonts w:ascii="宋体"/>
                <w:color w:val="000000"/>
                <w:kern w:val="0"/>
                <w:szCs w:val="21"/>
              </w:rPr>
              <w:t>费</w:t>
            </w:r>
            <w:r>
              <w:rPr>
                <w:rFonts w:ascii="宋体" w:hint="eastAsia"/>
                <w:color w:val="000000"/>
                <w:kern w:val="0"/>
                <w:szCs w:val="21"/>
              </w:rPr>
              <w:t>、转让</w:t>
            </w:r>
            <w:r>
              <w:rPr>
                <w:rFonts w:ascii="宋体"/>
                <w:color w:val="000000"/>
                <w:kern w:val="0"/>
                <w:szCs w:val="21"/>
              </w:rPr>
              <w:t>费的情况</w:t>
            </w:r>
          </w:p>
        </w:tc>
        <w:tc>
          <w:tcPr>
            <w:tcW w:w="709" w:type="dxa"/>
            <w:vAlign w:val="center"/>
          </w:tcPr>
          <w:p w:rsidR="00D66AE8" w:rsidRDefault="00D66AE8" w:rsidP="00B30A3C">
            <w:pPr>
              <w:autoSpaceDE w:val="0"/>
              <w:autoSpaceDN w:val="0"/>
              <w:adjustRightInd w:val="0"/>
              <w:jc w:val="center"/>
              <w:rPr>
                <w:rFonts w:ascii="宋体" w:hAnsi="Arial"/>
                <w:color w:val="000000"/>
                <w:kern w:val="0"/>
                <w:szCs w:val="21"/>
              </w:rPr>
            </w:pPr>
            <w:r>
              <w:rPr>
                <w:rFonts w:ascii="宋体" w:hAnsi="Arial" w:hint="eastAsia"/>
                <w:color w:val="000000"/>
                <w:kern w:val="0"/>
                <w:szCs w:val="21"/>
              </w:rPr>
              <w:t>9</w:t>
            </w:r>
          </w:p>
        </w:tc>
      </w:tr>
      <w:tr w:rsidR="00D66AE8" w:rsidTr="000B5FB3">
        <w:trPr>
          <w:trHeight w:val="1411"/>
        </w:trPr>
        <w:tc>
          <w:tcPr>
            <w:tcW w:w="2235" w:type="dxa"/>
            <w:vMerge/>
            <w:vAlign w:val="center"/>
          </w:tcPr>
          <w:p w:rsidR="00D66AE8" w:rsidRDefault="00D66AE8">
            <w:pPr>
              <w:pStyle w:val="Default"/>
              <w:jc w:val="center"/>
              <w:rPr>
                <w:rFonts w:ascii="宋体" w:eastAsia="宋体" w:cs="宋体"/>
                <w:sz w:val="21"/>
                <w:szCs w:val="21"/>
              </w:rPr>
            </w:pPr>
          </w:p>
        </w:tc>
        <w:tc>
          <w:tcPr>
            <w:tcW w:w="1559" w:type="dxa"/>
            <w:vAlign w:val="center"/>
          </w:tcPr>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知识产权金融</w:t>
            </w:r>
          </w:p>
        </w:tc>
        <w:tc>
          <w:tcPr>
            <w:tcW w:w="3827" w:type="dxa"/>
            <w:vAlign w:val="center"/>
          </w:tcPr>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开展专利、商标质押融资，并在国家知识产权局完成登记，贷款合同金额情况；开展专利、商标保险，投保专利和商标的数量；推进知识产权作价入股、投贷联动、融资租赁等</w:t>
            </w:r>
          </w:p>
        </w:tc>
        <w:tc>
          <w:tcPr>
            <w:tcW w:w="709" w:type="dxa"/>
            <w:vAlign w:val="center"/>
          </w:tcPr>
          <w:p w:rsidR="00D66AE8" w:rsidRDefault="00D66AE8" w:rsidP="00B30A3C">
            <w:pPr>
              <w:autoSpaceDE w:val="0"/>
              <w:autoSpaceDN w:val="0"/>
              <w:adjustRightInd w:val="0"/>
              <w:jc w:val="center"/>
              <w:rPr>
                <w:rFonts w:ascii="宋体" w:hAnsi="Arial"/>
                <w:color w:val="000000"/>
                <w:kern w:val="0"/>
                <w:szCs w:val="21"/>
              </w:rPr>
            </w:pPr>
            <w:r>
              <w:rPr>
                <w:rFonts w:ascii="宋体" w:hAnsi="Arial" w:hint="eastAsia"/>
                <w:color w:val="000000"/>
                <w:kern w:val="0"/>
                <w:szCs w:val="21"/>
              </w:rPr>
              <w:t>15</w:t>
            </w:r>
          </w:p>
        </w:tc>
      </w:tr>
      <w:tr w:rsidR="00D66AE8" w:rsidTr="00D66AE8">
        <w:trPr>
          <w:trHeight w:val="2641"/>
        </w:trPr>
        <w:tc>
          <w:tcPr>
            <w:tcW w:w="2235" w:type="dxa"/>
            <w:vMerge/>
            <w:vAlign w:val="center"/>
          </w:tcPr>
          <w:p w:rsidR="00D66AE8" w:rsidRDefault="00D66AE8">
            <w:pPr>
              <w:pStyle w:val="Default"/>
              <w:jc w:val="center"/>
              <w:rPr>
                <w:rFonts w:ascii="宋体" w:eastAsia="宋体" w:cs="宋体"/>
                <w:sz w:val="21"/>
                <w:szCs w:val="21"/>
              </w:rPr>
            </w:pPr>
          </w:p>
        </w:tc>
        <w:tc>
          <w:tcPr>
            <w:tcW w:w="1559" w:type="dxa"/>
            <w:vAlign w:val="center"/>
          </w:tcPr>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知识产权信息利用</w:t>
            </w:r>
          </w:p>
        </w:tc>
        <w:tc>
          <w:tcPr>
            <w:tcW w:w="3827" w:type="dxa"/>
            <w:vAlign w:val="center"/>
          </w:tcPr>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注重知识产权信息利用，拥有知识产权数据库；形成专利导航、专利价值分析、专利预警分析、知识产权分析评议、知识产权风险评估等相关报告，非“一键生成式”</w:t>
            </w:r>
            <w:r>
              <w:rPr>
                <w:rFonts w:ascii="宋体" w:hint="eastAsia"/>
                <w:color w:val="000000"/>
                <w:kern w:val="0"/>
                <w:szCs w:val="21"/>
              </w:rPr>
              <w:t>报告</w:t>
            </w:r>
            <w:r>
              <w:rPr>
                <w:rFonts w:ascii="宋体" w:hint="eastAsia"/>
                <w:color w:val="000000"/>
                <w:kern w:val="0"/>
                <w:szCs w:val="21"/>
              </w:rPr>
              <w:t>。</w:t>
            </w:r>
          </w:p>
          <w:p w:rsidR="00D66AE8" w:rsidRDefault="00D66AE8" w:rsidP="00B30A3C">
            <w:pPr>
              <w:autoSpaceDE w:val="0"/>
              <w:autoSpaceDN w:val="0"/>
              <w:adjustRightInd w:val="0"/>
              <w:jc w:val="left"/>
              <w:rPr>
                <w:rFonts w:ascii="宋体"/>
                <w:color w:val="000000"/>
                <w:kern w:val="0"/>
                <w:szCs w:val="21"/>
              </w:rPr>
            </w:pPr>
            <w:r>
              <w:rPr>
                <w:rFonts w:ascii="宋体" w:hint="eastAsia"/>
                <w:color w:val="000000"/>
                <w:kern w:val="0"/>
                <w:szCs w:val="21"/>
              </w:rPr>
              <w:t>开展专利技术路演、高价值专利挖掘、专利标准化、参加知识产权相关展会、参与重点产业专利联盟等知识产权运用</w:t>
            </w:r>
          </w:p>
        </w:tc>
        <w:tc>
          <w:tcPr>
            <w:tcW w:w="709" w:type="dxa"/>
            <w:vAlign w:val="center"/>
          </w:tcPr>
          <w:p w:rsidR="00D66AE8" w:rsidRDefault="00D66AE8" w:rsidP="00B30A3C">
            <w:pPr>
              <w:autoSpaceDE w:val="0"/>
              <w:autoSpaceDN w:val="0"/>
              <w:adjustRightInd w:val="0"/>
              <w:jc w:val="center"/>
              <w:rPr>
                <w:rFonts w:ascii="宋体" w:hAnsi="Arial"/>
                <w:color w:val="000000"/>
                <w:kern w:val="0"/>
                <w:szCs w:val="21"/>
              </w:rPr>
            </w:pPr>
            <w:r>
              <w:rPr>
                <w:rFonts w:ascii="宋体" w:hAnsi="Arial" w:hint="eastAsia"/>
                <w:color w:val="000000"/>
                <w:kern w:val="0"/>
                <w:szCs w:val="21"/>
              </w:rPr>
              <w:t>9</w:t>
            </w:r>
          </w:p>
        </w:tc>
      </w:tr>
      <w:tr w:rsidR="00D66AE8" w:rsidTr="00D66AE8">
        <w:trPr>
          <w:trHeight w:val="2267"/>
        </w:trPr>
        <w:tc>
          <w:tcPr>
            <w:tcW w:w="2235"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知识产权保护（</w:t>
            </w:r>
            <w:r>
              <w:rPr>
                <w:rFonts w:ascii="宋体" w:eastAsia="宋体" w:cs="宋体"/>
                <w:sz w:val="21"/>
                <w:szCs w:val="21"/>
              </w:rPr>
              <w:t>5</w:t>
            </w:r>
            <w:r>
              <w:rPr>
                <w:rFonts w:ascii="宋体" w:eastAsia="宋体" w:cs="宋体" w:hint="eastAsia"/>
                <w:sz w:val="21"/>
                <w:szCs w:val="21"/>
              </w:rPr>
              <w:t>分）</w:t>
            </w:r>
          </w:p>
        </w:tc>
        <w:tc>
          <w:tcPr>
            <w:tcW w:w="1559"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知识产权保护机制及典型案例</w:t>
            </w:r>
          </w:p>
        </w:tc>
        <w:tc>
          <w:tcPr>
            <w:tcW w:w="3827"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增强知识产权保护意识，开展自主知识产权分级分类保护，制定相应的保护措施；建立知识产权纠纷应对机制；有知识产权侵权纠纷检验鉴定、鉴定咨询、维权援助、无效或无效应对、行政保护、司法诉讼、调解仲裁、海外维权等情形的知识产权保护典型案例</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hint="eastAsia"/>
                <w:color w:val="000000"/>
                <w:kern w:val="0"/>
                <w:szCs w:val="21"/>
              </w:rPr>
              <w:t>5</w:t>
            </w:r>
          </w:p>
        </w:tc>
      </w:tr>
      <w:tr w:rsidR="00D66AE8" w:rsidTr="00DF5722">
        <w:trPr>
          <w:trHeight w:val="2058"/>
        </w:trPr>
        <w:tc>
          <w:tcPr>
            <w:tcW w:w="2235"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知识产权文化（6分）</w:t>
            </w:r>
          </w:p>
        </w:tc>
        <w:tc>
          <w:tcPr>
            <w:tcW w:w="1559" w:type="dxa"/>
            <w:vAlign w:val="center"/>
          </w:tcPr>
          <w:p w:rsidR="00D66AE8" w:rsidRDefault="00D66AE8" w:rsidP="00391911">
            <w:pPr>
              <w:autoSpaceDE w:val="0"/>
              <w:autoSpaceDN w:val="0"/>
              <w:adjustRightInd w:val="0"/>
              <w:jc w:val="left"/>
              <w:rPr>
                <w:rFonts w:ascii="宋体"/>
                <w:color w:val="000000"/>
                <w:kern w:val="0"/>
                <w:szCs w:val="21"/>
              </w:rPr>
            </w:pPr>
            <w:r>
              <w:rPr>
                <w:rFonts w:ascii="宋体" w:hint="eastAsia"/>
                <w:color w:val="000000"/>
                <w:kern w:val="0"/>
                <w:szCs w:val="21"/>
              </w:rPr>
              <w:t>文化宣传、业务培训</w:t>
            </w:r>
          </w:p>
        </w:tc>
        <w:tc>
          <w:tcPr>
            <w:tcW w:w="3827" w:type="dxa"/>
            <w:vAlign w:val="center"/>
          </w:tcPr>
          <w:p w:rsidR="00D66AE8" w:rsidRDefault="00D66AE8" w:rsidP="00BA127C">
            <w:pPr>
              <w:autoSpaceDE w:val="0"/>
              <w:autoSpaceDN w:val="0"/>
              <w:adjustRightInd w:val="0"/>
              <w:jc w:val="left"/>
              <w:rPr>
                <w:rFonts w:ascii="宋体"/>
                <w:color w:val="000000"/>
                <w:kern w:val="0"/>
                <w:szCs w:val="21"/>
              </w:rPr>
            </w:pPr>
            <w:r>
              <w:rPr>
                <w:rFonts w:ascii="宋体" w:hint="eastAsia"/>
                <w:color w:val="000000"/>
                <w:kern w:val="0"/>
                <w:szCs w:val="21"/>
              </w:rPr>
              <w:t>中高层管理人员及知识产权管理人员参与市区两级知识产权管理部门组织的宣传、培训活动；自行开展知识产权宣传培训活动次数；积极参与“4·26”知识产权宣传周、上海专利周、入园惠企、市区两级知识产权其他重大活动等；</w:t>
            </w:r>
            <w:r>
              <w:rPr>
                <w:rFonts w:ascii="宋体"/>
                <w:color w:val="000000"/>
                <w:kern w:val="0"/>
                <w:szCs w:val="21"/>
              </w:rPr>
              <w:t xml:space="preserve"> </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hint="eastAsia"/>
                <w:color w:val="000000"/>
                <w:kern w:val="0"/>
                <w:szCs w:val="21"/>
              </w:rPr>
              <w:t>6</w:t>
            </w:r>
          </w:p>
        </w:tc>
      </w:tr>
      <w:tr w:rsidR="00D66AE8" w:rsidTr="00DF5722">
        <w:trPr>
          <w:trHeight w:val="1406"/>
        </w:trPr>
        <w:tc>
          <w:tcPr>
            <w:tcW w:w="2235" w:type="dxa"/>
            <w:vAlign w:val="center"/>
          </w:tcPr>
          <w:p w:rsidR="00D66AE8" w:rsidRDefault="00D66AE8">
            <w:pPr>
              <w:pStyle w:val="Default"/>
              <w:rPr>
                <w:rFonts w:ascii="宋体" w:eastAsia="宋体" w:cs="宋体"/>
                <w:sz w:val="21"/>
                <w:szCs w:val="21"/>
              </w:rPr>
            </w:pPr>
            <w:r>
              <w:rPr>
                <w:rFonts w:ascii="宋体" w:eastAsia="宋体" w:cs="宋体" w:hint="eastAsia"/>
                <w:sz w:val="21"/>
                <w:szCs w:val="21"/>
              </w:rPr>
              <w:lastRenderedPageBreak/>
              <w:t>示范工作方案（4分）</w:t>
            </w:r>
          </w:p>
        </w:tc>
        <w:tc>
          <w:tcPr>
            <w:tcW w:w="1559"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总体评价</w:t>
            </w:r>
          </w:p>
        </w:tc>
        <w:tc>
          <w:tcPr>
            <w:tcW w:w="3827"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具有自身鲜明特色，内容新颖，有创新突破；有清晰、明确的目标，具有可量化；进度安排合理，工作内容充实，措施得当，经费安排合理合规</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hint="eastAsia"/>
                <w:color w:val="000000"/>
                <w:kern w:val="0"/>
                <w:szCs w:val="21"/>
              </w:rPr>
              <w:t>4</w:t>
            </w:r>
          </w:p>
        </w:tc>
      </w:tr>
      <w:tr w:rsidR="00D66AE8" w:rsidTr="00D66AE8">
        <w:trPr>
          <w:trHeight w:val="1414"/>
        </w:trPr>
        <w:tc>
          <w:tcPr>
            <w:tcW w:w="2235" w:type="dxa"/>
            <w:vAlign w:val="center"/>
          </w:tcPr>
          <w:p w:rsidR="00D66AE8" w:rsidRDefault="00D66AE8">
            <w:pPr>
              <w:pStyle w:val="Default"/>
              <w:jc w:val="center"/>
              <w:rPr>
                <w:rFonts w:ascii="宋体" w:eastAsia="宋体" w:cs="宋体"/>
                <w:sz w:val="21"/>
                <w:szCs w:val="21"/>
              </w:rPr>
            </w:pPr>
            <w:r>
              <w:rPr>
                <w:rFonts w:ascii="宋体" w:eastAsia="宋体" w:cs="宋体" w:hint="eastAsia"/>
                <w:sz w:val="21"/>
                <w:szCs w:val="21"/>
              </w:rPr>
              <w:t>附加分（5分）</w:t>
            </w:r>
          </w:p>
        </w:tc>
        <w:tc>
          <w:tcPr>
            <w:tcW w:w="1559" w:type="dxa"/>
            <w:vAlign w:val="center"/>
          </w:tcPr>
          <w:p w:rsidR="00D66AE8" w:rsidRDefault="00D66AE8">
            <w:pPr>
              <w:autoSpaceDE w:val="0"/>
              <w:autoSpaceDN w:val="0"/>
              <w:adjustRightInd w:val="0"/>
              <w:jc w:val="left"/>
              <w:rPr>
                <w:rFonts w:ascii="宋体"/>
                <w:color w:val="000000"/>
                <w:kern w:val="0"/>
                <w:szCs w:val="21"/>
              </w:rPr>
            </w:pPr>
            <w:r>
              <w:rPr>
                <w:rFonts w:ascii="宋体" w:hint="eastAsia"/>
                <w:color w:val="000000"/>
                <w:kern w:val="0"/>
                <w:szCs w:val="21"/>
              </w:rPr>
              <w:t>附加分</w:t>
            </w:r>
          </w:p>
        </w:tc>
        <w:tc>
          <w:tcPr>
            <w:tcW w:w="3827" w:type="dxa"/>
            <w:vAlign w:val="center"/>
          </w:tcPr>
          <w:p w:rsidR="00D66AE8" w:rsidRDefault="00D66AE8">
            <w:pPr>
              <w:autoSpaceDE w:val="0"/>
              <w:autoSpaceDN w:val="0"/>
              <w:adjustRightInd w:val="0"/>
              <w:jc w:val="left"/>
              <w:rPr>
                <w:rFonts w:ascii="宋体" w:hAnsi="Arial"/>
                <w:color w:val="000000"/>
                <w:kern w:val="0"/>
                <w:szCs w:val="21"/>
              </w:rPr>
            </w:pPr>
            <w:r>
              <w:rPr>
                <w:rFonts w:ascii="宋体" w:hint="eastAsia"/>
                <w:color w:val="000000"/>
                <w:kern w:val="0"/>
                <w:szCs w:val="21"/>
              </w:rPr>
              <w:t>近</w:t>
            </w:r>
            <w:r>
              <w:rPr>
                <w:rFonts w:ascii="Arial" w:hAnsi="Arial" w:cs="Arial" w:hint="eastAsia"/>
                <w:color w:val="000000"/>
                <w:kern w:val="0"/>
                <w:szCs w:val="21"/>
              </w:rPr>
              <w:t>三</w:t>
            </w:r>
            <w:r>
              <w:rPr>
                <w:rFonts w:ascii="宋体" w:hAnsi="Arial" w:hint="eastAsia"/>
                <w:color w:val="000000"/>
                <w:kern w:val="0"/>
                <w:szCs w:val="21"/>
              </w:rPr>
              <w:t>年内，获得国家、市、区级等与创新创造相关的奖励、称号、荣誉，疫情防控期间作出突出贡献等</w:t>
            </w:r>
          </w:p>
        </w:tc>
        <w:tc>
          <w:tcPr>
            <w:tcW w:w="709" w:type="dxa"/>
            <w:vAlign w:val="center"/>
          </w:tcPr>
          <w:p w:rsidR="00D66AE8" w:rsidRDefault="00D66AE8">
            <w:pPr>
              <w:autoSpaceDE w:val="0"/>
              <w:autoSpaceDN w:val="0"/>
              <w:adjustRightInd w:val="0"/>
              <w:jc w:val="center"/>
              <w:rPr>
                <w:rFonts w:ascii="宋体" w:hAnsi="Arial"/>
                <w:color w:val="000000"/>
                <w:kern w:val="0"/>
                <w:szCs w:val="21"/>
              </w:rPr>
            </w:pPr>
            <w:r>
              <w:rPr>
                <w:rFonts w:ascii="宋体" w:hAnsi="Arial" w:hint="eastAsia"/>
                <w:color w:val="000000"/>
                <w:kern w:val="0"/>
                <w:szCs w:val="21"/>
              </w:rPr>
              <w:t>5</w:t>
            </w:r>
          </w:p>
        </w:tc>
      </w:tr>
    </w:tbl>
    <w:p w:rsidR="00AA4A95" w:rsidRDefault="00AA4A95" w:rsidP="00613FE8">
      <w:pPr>
        <w:rPr>
          <w:rFonts w:ascii="方正小标宋简体" w:eastAsia="方正小标宋简体"/>
          <w:szCs w:val="21"/>
        </w:rPr>
      </w:pPr>
    </w:p>
    <w:sectPr w:rsidR="00AA4A95" w:rsidSect="00D66A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99F" w:rsidRDefault="00F0699F" w:rsidP="00F0699F">
      <w:r>
        <w:separator/>
      </w:r>
    </w:p>
  </w:endnote>
  <w:endnote w:type="continuationSeparator" w:id="1">
    <w:p w:rsidR="00F0699F" w:rsidRDefault="00F0699F" w:rsidP="00F06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99F" w:rsidRDefault="00F0699F" w:rsidP="00F0699F">
      <w:r>
        <w:separator/>
      </w:r>
    </w:p>
  </w:footnote>
  <w:footnote w:type="continuationSeparator" w:id="1">
    <w:p w:rsidR="00F0699F" w:rsidRDefault="00F0699F" w:rsidP="00F06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A95"/>
    <w:rsid w:val="000B5FB3"/>
    <w:rsid w:val="002B241D"/>
    <w:rsid w:val="00391911"/>
    <w:rsid w:val="003D4C1D"/>
    <w:rsid w:val="0056094F"/>
    <w:rsid w:val="00613FE8"/>
    <w:rsid w:val="007621A7"/>
    <w:rsid w:val="00AA4A95"/>
    <w:rsid w:val="00BA127C"/>
    <w:rsid w:val="00C947AC"/>
    <w:rsid w:val="00D66AE8"/>
    <w:rsid w:val="00DF5722"/>
    <w:rsid w:val="00F0699F"/>
    <w:rsid w:val="00F3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A95"/>
    <w:pPr>
      <w:widowControl w:val="0"/>
      <w:autoSpaceDE w:val="0"/>
      <w:autoSpaceDN w:val="0"/>
      <w:adjustRightInd w:val="0"/>
    </w:pPr>
    <w:rPr>
      <w:rFonts w:ascii="Arial Unicode MS" w:eastAsia="Arial Unicode MS" w:cs="Arial Unicode MS"/>
      <w:color w:val="000000"/>
      <w:kern w:val="0"/>
      <w:sz w:val="24"/>
      <w:szCs w:val="24"/>
    </w:rPr>
  </w:style>
  <w:style w:type="table" w:styleId="a3">
    <w:name w:val="Table Grid"/>
    <w:basedOn w:val="a1"/>
    <w:uiPriority w:val="59"/>
    <w:rsid w:val="00AA4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rsid w:val="00AA4A95"/>
    <w:rPr>
      <w:sz w:val="18"/>
      <w:szCs w:val="18"/>
    </w:rPr>
  </w:style>
  <w:style w:type="character" w:customStyle="1" w:styleId="Char">
    <w:name w:val="批注框文本 Char"/>
    <w:basedOn w:val="a0"/>
    <w:link w:val="a4"/>
    <w:uiPriority w:val="99"/>
    <w:rsid w:val="00AA4A95"/>
    <w:rPr>
      <w:sz w:val="18"/>
      <w:szCs w:val="18"/>
    </w:rPr>
  </w:style>
  <w:style w:type="paragraph" w:styleId="a5">
    <w:name w:val="header"/>
    <w:basedOn w:val="a"/>
    <w:link w:val="Char0"/>
    <w:uiPriority w:val="99"/>
    <w:rsid w:val="00AA4A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A4A95"/>
    <w:rPr>
      <w:sz w:val="18"/>
      <w:szCs w:val="18"/>
    </w:rPr>
  </w:style>
  <w:style w:type="paragraph" w:styleId="a6">
    <w:name w:val="footer"/>
    <w:basedOn w:val="a"/>
    <w:link w:val="Char1"/>
    <w:uiPriority w:val="99"/>
    <w:rsid w:val="00AA4A95"/>
    <w:pPr>
      <w:tabs>
        <w:tab w:val="center" w:pos="4153"/>
        <w:tab w:val="right" w:pos="8306"/>
      </w:tabs>
      <w:snapToGrid w:val="0"/>
      <w:jc w:val="left"/>
    </w:pPr>
    <w:rPr>
      <w:sz w:val="18"/>
      <w:szCs w:val="18"/>
    </w:rPr>
  </w:style>
  <w:style w:type="character" w:customStyle="1" w:styleId="Char1">
    <w:name w:val="页脚 Char"/>
    <w:basedOn w:val="a0"/>
    <w:link w:val="a6"/>
    <w:uiPriority w:val="99"/>
    <w:rsid w:val="00AA4A9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2022-09-21T15:47:00Z</cp:lastPrinted>
  <dcterms:created xsi:type="dcterms:W3CDTF">2022-09-21T15:54:00Z</dcterms:created>
  <dcterms:modified xsi:type="dcterms:W3CDTF">2022-09-21T15:56:00Z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e9c69a5e2fec48f0b655ef9e47991dfb</vt:lpwstr>
  </property>
</Properties>
</file>