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48" w:rsidRDefault="00422097">
      <w:pPr>
        <w:spacing w:before="146" w:line="600" w:lineRule="exact"/>
        <w:jc w:val="center"/>
        <w:rPr>
          <w:rFonts w:ascii="方正小标宋简体" w:eastAsia="方正小标宋简体" w:hAnsi="仿宋" w:cs="方正小标宋简体"/>
          <w:b/>
          <w:color w:val="000000"/>
          <w:sz w:val="44"/>
          <w:szCs w:val="44"/>
          <w:shd w:val="clear" w:color="auto" w:fill="FFFFFF"/>
        </w:rPr>
      </w:pPr>
      <w:r>
        <w:rPr>
          <w:rFonts w:ascii="方正小标宋简体" w:eastAsia="方正小标宋简体" w:hAnsi="仿宋" w:cs="方正小标宋简体" w:hint="eastAsia"/>
          <w:b/>
          <w:color w:val="000000"/>
          <w:sz w:val="44"/>
          <w:szCs w:val="44"/>
          <w:shd w:val="clear" w:color="auto" w:fill="FFFFFF"/>
        </w:rPr>
        <w:t>关于《嘉定体育消费券配送管理暂行办法（修订草案）》的起草说明</w:t>
      </w:r>
    </w:p>
    <w:p w:rsidR="005D5048" w:rsidRDefault="005D5048">
      <w:pPr>
        <w:spacing w:line="360" w:lineRule="auto"/>
        <w:jc w:val="left"/>
        <w:rPr>
          <w:rFonts w:ascii="仿宋" w:eastAsia="仿宋" w:hAnsi="仿宋" w:cs="Arial"/>
          <w:color w:val="000000" w:themeColor="text1"/>
          <w:shd w:val="clear" w:color="auto" w:fill="FFFFFF"/>
        </w:rPr>
      </w:pPr>
    </w:p>
    <w:p w:rsidR="005D5048" w:rsidRDefault="00422097" w:rsidP="0096773E">
      <w:pPr>
        <w:spacing w:line="600" w:lineRule="exact"/>
        <w:ind w:firstLineChars="200" w:firstLine="640"/>
        <w:jc w:val="left"/>
        <w:rPr>
          <w:rFonts w:ascii="黑体" w:eastAsia="黑体" w:hAnsi="黑体" w:cs="仿宋"/>
          <w:bCs/>
          <w:color w:val="000000" w:themeColor="text1"/>
          <w:sz w:val="32"/>
          <w:szCs w:val="32"/>
          <w:shd w:val="clear" w:color="auto" w:fill="FFFFFF"/>
        </w:rPr>
      </w:pPr>
      <w:bookmarkStart w:id="0" w:name="_GoBack"/>
      <w:r>
        <w:rPr>
          <w:rFonts w:ascii="黑体" w:eastAsia="黑体" w:hAnsi="黑体" w:cs="仿宋" w:hint="eastAsia"/>
          <w:bCs/>
          <w:color w:val="000000" w:themeColor="text1"/>
          <w:sz w:val="32"/>
          <w:szCs w:val="32"/>
          <w:shd w:val="clear" w:color="auto" w:fill="FFFFFF"/>
        </w:rPr>
        <w:t>一、起草背景</w:t>
      </w:r>
    </w:p>
    <w:p w:rsidR="005D5048"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为加强公共体育服务，促进体育消费，支持本区公共体育场馆和经营性体育场馆向社会公益开放，推动全民健身和体育产业发展，根据《体育强国建设纲要》（国办发</w:t>
      </w:r>
      <w:r>
        <w:rPr>
          <w:rFonts w:ascii="仿宋_GB2312" w:eastAsia="仿宋_GB2312" w:hAnsi="仿宋" w:cs="仿宋_GB2312" w:hint="eastAsia"/>
          <w:color w:val="000000" w:themeColor="text1"/>
          <w:sz w:val="32"/>
          <w:szCs w:val="32"/>
        </w:rPr>
        <w:t>[2019]40</w:t>
      </w:r>
      <w:r>
        <w:rPr>
          <w:rFonts w:ascii="仿宋_GB2312" w:eastAsia="仿宋_GB2312" w:hAnsi="仿宋" w:cs="仿宋_GB2312" w:hint="eastAsia"/>
          <w:color w:val="000000" w:themeColor="text1"/>
          <w:sz w:val="32"/>
          <w:szCs w:val="32"/>
        </w:rPr>
        <w:t>号）、《关于促进全民健身和体育消费推动体育产业高质量发展的意见》（国办发</w:t>
      </w:r>
      <w:r>
        <w:rPr>
          <w:rFonts w:ascii="仿宋_GB2312" w:eastAsia="仿宋_GB2312" w:hAnsi="仿宋" w:cs="仿宋_GB2312" w:hint="eastAsia"/>
          <w:color w:val="000000" w:themeColor="text1"/>
          <w:sz w:val="32"/>
          <w:szCs w:val="32"/>
        </w:rPr>
        <w:t>[2019]43</w:t>
      </w:r>
      <w:r>
        <w:rPr>
          <w:rFonts w:ascii="仿宋_GB2312" w:eastAsia="仿宋_GB2312" w:hAnsi="仿宋" w:cs="仿宋_GB2312" w:hint="eastAsia"/>
          <w:color w:val="000000" w:themeColor="text1"/>
          <w:sz w:val="32"/>
          <w:szCs w:val="32"/>
        </w:rPr>
        <w:t>号）、《上海市体育设施管理办法》、《上海市促进体育发展财政专项资金管理办法》和《上海体育消费券配送管理暂行办法》等国家和本市有关文件精神，制定本办法。</w:t>
      </w:r>
    </w:p>
    <w:p w:rsidR="005D5048" w:rsidRDefault="00422097" w:rsidP="0096773E">
      <w:pPr>
        <w:spacing w:line="600" w:lineRule="exact"/>
        <w:ind w:firstLineChars="200" w:firstLine="640"/>
        <w:jc w:val="left"/>
        <w:rPr>
          <w:rFonts w:ascii="黑体" w:eastAsia="黑体" w:hAnsi="黑体" w:cs="仿宋"/>
          <w:bCs/>
          <w:color w:val="000000" w:themeColor="text1"/>
          <w:sz w:val="32"/>
          <w:szCs w:val="32"/>
          <w:shd w:val="clear" w:color="auto" w:fill="FFFFFF"/>
        </w:rPr>
      </w:pPr>
      <w:r>
        <w:rPr>
          <w:rFonts w:ascii="黑体" w:eastAsia="黑体" w:hAnsi="黑体" w:cs="仿宋" w:hint="eastAsia"/>
          <w:bCs/>
          <w:color w:val="000000" w:themeColor="text1"/>
          <w:sz w:val="32"/>
          <w:szCs w:val="32"/>
          <w:shd w:val="clear" w:color="auto" w:fill="FFFFFF"/>
        </w:rPr>
        <w:t>二、起草过程</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2020</w:t>
      </w:r>
      <w:r w:rsidRPr="0096773E">
        <w:rPr>
          <w:rFonts w:ascii="仿宋_GB2312" w:eastAsia="仿宋_GB2312" w:hAnsi="仿宋" w:cs="仿宋_GB2312" w:hint="eastAsia"/>
          <w:color w:val="000000" w:themeColor="text1"/>
          <w:sz w:val="32"/>
          <w:szCs w:val="32"/>
        </w:rPr>
        <w:t>年</w:t>
      </w:r>
      <w:r w:rsidRPr="0096773E">
        <w:rPr>
          <w:rFonts w:ascii="仿宋_GB2312" w:eastAsia="仿宋_GB2312" w:hAnsi="仿宋" w:cs="仿宋_GB2312" w:hint="eastAsia"/>
          <w:color w:val="000000" w:themeColor="text1"/>
          <w:sz w:val="32"/>
          <w:szCs w:val="32"/>
        </w:rPr>
        <w:t>5</w:t>
      </w:r>
      <w:r w:rsidRPr="0096773E">
        <w:rPr>
          <w:rFonts w:ascii="仿宋_GB2312" w:eastAsia="仿宋_GB2312" w:hAnsi="仿宋" w:cs="仿宋_GB2312" w:hint="eastAsia"/>
          <w:color w:val="000000" w:themeColor="text1"/>
          <w:sz w:val="32"/>
          <w:szCs w:val="32"/>
        </w:rPr>
        <w:t>月</w:t>
      </w:r>
      <w:r w:rsidRPr="0096773E">
        <w:rPr>
          <w:rFonts w:ascii="仿宋_GB2312" w:eastAsia="仿宋_GB2312" w:hAnsi="仿宋" w:cs="仿宋_GB2312" w:hint="eastAsia"/>
          <w:color w:val="000000" w:themeColor="text1"/>
          <w:sz w:val="32"/>
          <w:szCs w:val="32"/>
        </w:rPr>
        <w:t>，嘉定区体育局秉持“政府贴一点，场馆让一点，个人出一点”的原则，推出“嘉定区体育公益配送”项目。总值</w:t>
      </w:r>
      <w:r w:rsidRPr="0096773E">
        <w:rPr>
          <w:rFonts w:ascii="仿宋_GB2312" w:eastAsia="仿宋_GB2312" w:hAnsi="仿宋" w:cs="仿宋_GB2312" w:hint="eastAsia"/>
          <w:color w:val="000000" w:themeColor="text1"/>
          <w:sz w:val="32"/>
          <w:szCs w:val="32"/>
        </w:rPr>
        <w:t>99</w:t>
      </w:r>
      <w:r w:rsidRPr="0096773E">
        <w:rPr>
          <w:rFonts w:ascii="仿宋_GB2312" w:eastAsia="仿宋_GB2312" w:hAnsi="仿宋" w:cs="仿宋_GB2312" w:hint="eastAsia"/>
          <w:color w:val="000000" w:themeColor="text1"/>
          <w:sz w:val="32"/>
          <w:szCs w:val="32"/>
        </w:rPr>
        <w:t>万元的公益配送</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，以</w:t>
      </w:r>
      <w:r w:rsidRPr="0096773E">
        <w:rPr>
          <w:rFonts w:ascii="仿宋_GB2312" w:eastAsia="仿宋_GB2312" w:hAnsi="仿宋" w:cs="仿宋_GB2312" w:hint="eastAsia"/>
          <w:color w:val="000000" w:themeColor="text1"/>
          <w:sz w:val="32"/>
          <w:szCs w:val="32"/>
        </w:rPr>
        <w:t>5-80</w:t>
      </w:r>
      <w:r w:rsidRPr="0096773E">
        <w:rPr>
          <w:rFonts w:ascii="仿宋_GB2312" w:eastAsia="仿宋_GB2312" w:hAnsi="仿宋" w:cs="仿宋_GB2312" w:hint="eastAsia"/>
          <w:color w:val="000000" w:themeColor="text1"/>
          <w:sz w:val="32"/>
          <w:szCs w:val="32"/>
        </w:rPr>
        <w:t>元电子抵用</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形式，由市民在“全嘉云动”小程序内领取，并可持券至纳入公益开放范围的场馆进行付费健身，区体育局根据抵用</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使用情况定期向场馆结算补贴费用。</w:t>
      </w:r>
      <w:r w:rsidRPr="0096773E">
        <w:rPr>
          <w:rFonts w:ascii="仿宋_GB2312" w:eastAsia="仿宋_GB2312" w:hAnsi="仿宋" w:cs="仿宋_GB2312" w:hint="eastAsia"/>
          <w:color w:val="000000" w:themeColor="text1"/>
          <w:sz w:val="32"/>
          <w:szCs w:val="32"/>
        </w:rPr>
        <w:t>同时制定了《</w:t>
      </w:r>
      <w:r w:rsidRPr="0096773E">
        <w:rPr>
          <w:rFonts w:ascii="仿宋_GB2312" w:eastAsia="仿宋_GB2312" w:hAnsi="仿宋" w:cs="仿宋_GB2312" w:hint="eastAsia"/>
          <w:color w:val="000000" w:themeColor="text1"/>
          <w:sz w:val="32"/>
          <w:szCs w:val="32"/>
        </w:rPr>
        <w:t>嘉定体育公益配送项目实施方案</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hint="eastAsia"/>
          <w:color w:val="000000" w:themeColor="text1"/>
          <w:sz w:val="32"/>
          <w:szCs w:val="32"/>
        </w:rPr>
        <w:t>2020</w:t>
      </w:r>
      <w:r w:rsidRPr="0096773E">
        <w:rPr>
          <w:rFonts w:ascii="仿宋_GB2312" w:eastAsia="仿宋_GB2312" w:hAnsi="仿宋" w:cs="仿宋_GB2312" w:hint="eastAsia"/>
          <w:color w:val="000000" w:themeColor="text1"/>
          <w:sz w:val="32"/>
          <w:szCs w:val="32"/>
        </w:rPr>
        <w:t>年</w:t>
      </w:r>
      <w:r w:rsidRPr="0096773E">
        <w:rPr>
          <w:rFonts w:ascii="仿宋_GB2312" w:eastAsia="仿宋_GB2312" w:hAnsi="仿宋" w:cs="仿宋_GB2312" w:hint="eastAsia"/>
          <w:color w:val="000000" w:themeColor="text1"/>
          <w:sz w:val="32"/>
          <w:szCs w:val="32"/>
        </w:rPr>
        <w:t>8</w:t>
      </w:r>
      <w:r w:rsidRPr="0096773E">
        <w:rPr>
          <w:rFonts w:ascii="仿宋_GB2312" w:eastAsia="仿宋_GB2312" w:hAnsi="仿宋" w:cs="仿宋_GB2312" w:hint="eastAsia"/>
          <w:color w:val="000000" w:themeColor="text1"/>
          <w:sz w:val="32"/>
          <w:szCs w:val="32"/>
        </w:rPr>
        <w:t>月市体育局发布了</w:t>
      </w:r>
      <w:proofErr w:type="gramStart"/>
      <w:r w:rsidRPr="0096773E">
        <w:rPr>
          <w:rFonts w:ascii="仿宋_GB2312" w:eastAsia="仿宋_GB2312" w:hAnsi="仿宋" w:cs="仿宋_GB2312" w:hint="eastAsia"/>
          <w:color w:val="000000" w:themeColor="text1"/>
          <w:sz w:val="32"/>
          <w:szCs w:val="32"/>
        </w:rPr>
        <w:t>沪体群</w:t>
      </w:r>
      <w:proofErr w:type="gramEnd"/>
      <w:r w:rsidRPr="0096773E">
        <w:rPr>
          <w:rFonts w:ascii="仿宋_GB2312" w:eastAsia="仿宋_GB2312" w:hAnsi="仿宋" w:cs="仿宋_GB2312" w:hint="eastAsia"/>
          <w:color w:val="000000" w:themeColor="text1"/>
          <w:sz w:val="32"/>
          <w:szCs w:val="32"/>
        </w:rPr>
        <w:t>[2020]127</w:t>
      </w:r>
      <w:r w:rsidRPr="0096773E">
        <w:rPr>
          <w:rFonts w:ascii="仿宋_GB2312" w:eastAsia="仿宋_GB2312" w:hAnsi="仿宋" w:cs="仿宋_GB2312" w:hint="eastAsia"/>
          <w:color w:val="000000" w:themeColor="text1"/>
          <w:sz w:val="32"/>
          <w:szCs w:val="32"/>
        </w:rPr>
        <w:t>号《上海体育消费券配送管理暂行办法》</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hint="eastAsia"/>
          <w:color w:val="000000" w:themeColor="text1"/>
          <w:sz w:val="32"/>
          <w:szCs w:val="32"/>
        </w:rPr>
        <w:t>并在</w:t>
      </w:r>
      <w:r w:rsidRPr="0096773E">
        <w:rPr>
          <w:rFonts w:ascii="仿宋_GB2312" w:eastAsia="仿宋_GB2312" w:hAnsi="仿宋" w:cs="仿宋_GB2312" w:hint="eastAsia"/>
          <w:color w:val="000000" w:themeColor="text1"/>
          <w:sz w:val="32"/>
          <w:szCs w:val="32"/>
        </w:rPr>
        <w:t>2021</w:t>
      </w:r>
      <w:r w:rsidRPr="0096773E">
        <w:rPr>
          <w:rFonts w:ascii="仿宋_GB2312" w:eastAsia="仿宋_GB2312" w:hAnsi="仿宋" w:cs="仿宋_GB2312" w:hint="eastAsia"/>
          <w:color w:val="000000" w:themeColor="text1"/>
          <w:sz w:val="32"/>
          <w:szCs w:val="32"/>
        </w:rPr>
        <w:t>年</w:t>
      </w:r>
      <w:r w:rsidRPr="0096773E">
        <w:rPr>
          <w:rFonts w:ascii="仿宋_GB2312" w:eastAsia="仿宋_GB2312" w:hAnsi="仿宋" w:cs="仿宋_GB2312" w:hint="eastAsia"/>
          <w:color w:val="000000" w:themeColor="text1"/>
          <w:sz w:val="32"/>
          <w:szCs w:val="32"/>
        </w:rPr>
        <w:t>4</w:t>
      </w:r>
      <w:r w:rsidRPr="0096773E">
        <w:rPr>
          <w:rFonts w:ascii="仿宋_GB2312" w:eastAsia="仿宋_GB2312" w:hAnsi="仿宋" w:cs="仿宋_GB2312" w:hint="eastAsia"/>
          <w:color w:val="000000" w:themeColor="text1"/>
          <w:sz w:val="32"/>
          <w:szCs w:val="32"/>
        </w:rPr>
        <w:t>月发布了</w:t>
      </w:r>
      <w:proofErr w:type="gramStart"/>
      <w:r w:rsidRPr="0096773E">
        <w:rPr>
          <w:rFonts w:ascii="仿宋_GB2312" w:eastAsia="仿宋_GB2312" w:hAnsi="仿宋" w:cs="仿宋_GB2312" w:hint="eastAsia"/>
          <w:color w:val="000000" w:themeColor="text1"/>
          <w:sz w:val="32"/>
          <w:szCs w:val="32"/>
        </w:rPr>
        <w:t>沪体群</w:t>
      </w:r>
      <w:proofErr w:type="gramEnd"/>
      <w:r w:rsidRPr="0096773E">
        <w:rPr>
          <w:rFonts w:ascii="仿宋_GB2312" w:eastAsia="仿宋_GB2312" w:hAnsi="仿宋" w:cs="仿宋_GB2312" w:hint="eastAsia"/>
          <w:color w:val="000000" w:themeColor="text1"/>
          <w:sz w:val="32"/>
          <w:szCs w:val="32"/>
        </w:rPr>
        <w:t>[2021]</w:t>
      </w:r>
      <w:r w:rsidRPr="0096773E">
        <w:rPr>
          <w:rFonts w:ascii="仿宋_GB2312" w:eastAsia="仿宋_GB2312" w:hAnsi="仿宋" w:cs="仿宋_GB2312" w:hint="eastAsia"/>
          <w:color w:val="000000" w:themeColor="text1"/>
          <w:sz w:val="32"/>
          <w:szCs w:val="32"/>
        </w:rPr>
        <w:t>第</w:t>
      </w:r>
      <w:r w:rsidRPr="0096773E">
        <w:rPr>
          <w:rFonts w:ascii="仿宋_GB2312" w:eastAsia="仿宋_GB2312" w:hAnsi="仿宋" w:cs="仿宋_GB2312" w:hint="eastAsia"/>
          <w:color w:val="000000" w:themeColor="text1"/>
          <w:sz w:val="32"/>
          <w:szCs w:val="32"/>
        </w:rPr>
        <w:t>69</w:t>
      </w:r>
      <w:r w:rsidRPr="0096773E">
        <w:rPr>
          <w:rFonts w:ascii="仿宋_GB2312" w:eastAsia="仿宋_GB2312" w:hAnsi="仿宋" w:cs="仿宋_GB2312" w:hint="eastAsia"/>
          <w:color w:val="000000" w:themeColor="text1"/>
          <w:sz w:val="32"/>
          <w:szCs w:val="32"/>
        </w:rPr>
        <w:t>号《上海市体育局关于修订</w:t>
      </w:r>
      <w:r w:rsidRPr="0096773E">
        <w:rPr>
          <w:rFonts w:ascii="仿宋_GB2312" w:eastAsia="仿宋_GB2312" w:hAnsi="仿宋" w:cs="仿宋_GB2312" w:hint="eastAsia"/>
          <w:color w:val="000000" w:themeColor="text1"/>
          <w:sz w:val="32"/>
          <w:szCs w:val="32"/>
        </w:rPr>
        <w:t>&lt;</w:t>
      </w:r>
      <w:r w:rsidRPr="0096773E">
        <w:rPr>
          <w:rFonts w:ascii="仿宋_GB2312" w:eastAsia="仿宋_GB2312" w:hAnsi="仿宋" w:cs="仿宋_GB2312" w:hint="eastAsia"/>
          <w:color w:val="000000" w:themeColor="text1"/>
          <w:sz w:val="32"/>
          <w:szCs w:val="32"/>
        </w:rPr>
        <w:t>上海体育消费券配送管理暂</w:t>
      </w:r>
      <w:r w:rsidRPr="0096773E">
        <w:rPr>
          <w:rFonts w:ascii="仿宋_GB2312" w:eastAsia="仿宋_GB2312" w:hAnsi="仿宋" w:cs="仿宋_GB2312" w:hint="eastAsia"/>
          <w:color w:val="000000" w:themeColor="text1"/>
          <w:sz w:val="32"/>
          <w:szCs w:val="32"/>
        </w:rPr>
        <w:t>行办法</w:t>
      </w:r>
      <w:r w:rsidRPr="0096773E">
        <w:rPr>
          <w:rFonts w:ascii="仿宋_GB2312" w:eastAsia="仿宋_GB2312" w:hAnsi="仿宋" w:cs="仿宋_GB2312" w:hint="eastAsia"/>
          <w:color w:val="000000" w:themeColor="text1"/>
          <w:sz w:val="32"/>
          <w:szCs w:val="32"/>
        </w:rPr>
        <w:t>&gt;</w:t>
      </w:r>
      <w:r w:rsidRPr="0096773E">
        <w:rPr>
          <w:rFonts w:ascii="仿宋_GB2312" w:eastAsia="仿宋_GB2312" w:hAnsi="仿宋" w:cs="仿宋_GB2312" w:hint="eastAsia"/>
          <w:color w:val="000000" w:themeColor="text1"/>
          <w:sz w:val="32"/>
          <w:szCs w:val="32"/>
        </w:rPr>
        <w:t>的通知》。通过两年的项目总结以及日常的</w:t>
      </w:r>
      <w:bookmarkEnd w:id="0"/>
      <w:r w:rsidRPr="0096773E">
        <w:rPr>
          <w:rFonts w:ascii="仿宋_GB2312" w:eastAsia="仿宋_GB2312" w:hAnsi="仿宋" w:cs="仿宋_GB2312" w:hint="eastAsia"/>
          <w:color w:val="000000" w:themeColor="text1"/>
          <w:sz w:val="32"/>
          <w:szCs w:val="32"/>
        </w:rPr>
        <w:lastRenderedPageBreak/>
        <w:t>调研结果，也为了市、区两级体育消费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保持管理办法一致，简化市民使用流程，起草了修订草案，修订之后的暂行管理办法发券流程合理化规划，领券、核销流程更简化，能够惠及更多用户。</w:t>
      </w:r>
    </w:p>
    <w:p w:rsidR="005D5048" w:rsidRPr="0096773E" w:rsidRDefault="00422097" w:rsidP="0096773E">
      <w:pPr>
        <w:spacing w:line="600" w:lineRule="exact"/>
        <w:ind w:firstLineChars="200" w:firstLine="640"/>
        <w:jc w:val="left"/>
        <w:rPr>
          <w:rFonts w:ascii="黑体" w:eastAsia="黑体" w:hAnsi="黑体" w:cs="仿宋"/>
          <w:bCs/>
          <w:color w:val="000000" w:themeColor="text1"/>
          <w:sz w:val="32"/>
          <w:szCs w:val="32"/>
          <w:shd w:val="clear" w:color="auto" w:fill="FFFFFF"/>
        </w:rPr>
      </w:pPr>
      <w:r w:rsidRPr="0096773E">
        <w:rPr>
          <w:rFonts w:ascii="黑体" w:eastAsia="黑体" w:hAnsi="黑体" w:cs="仿宋" w:hint="eastAsia"/>
          <w:bCs/>
          <w:color w:val="000000" w:themeColor="text1"/>
          <w:sz w:val="32"/>
          <w:szCs w:val="32"/>
          <w:shd w:val="clear" w:color="auto" w:fill="FFFFFF"/>
        </w:rPr>
        <w:t>三、《</w:t>
      </w:r>
      <w:r w:rsidRPr="0096773E">
        <w:rPr>
          <w:rFonts w:ascii="黑体" w:eastAsia="黑体" w:hAnsi="黑体" w:cs="仿宋" w:hint="eastAsia"/>
          <w:bCs/>
          <w:color w:val="000000" w:themeColor="text1"/>
          <w:sz w:val="32"/>
          <w:szCs w:val="32"/>
          <w:shd w:val="clear" w:color="auto" w:fill="FFFFFF"/>
        </w:rPr>
        <w:t>管理办法</w:t>
      </w:r>
      <w:r w:rsidRPr="0096773E">
        <w:rPr>
          <w:rFonts w:ascii="黑体" w:eastAsia="黑体" w:hAnsi="黑体" w:cs="仿宋" w:hint="eastAsia"/>
          <w:bCs/>
          <w:color w:val="000000" w:themeColor="text1"/>
          <w:sz w:val="32"/>
          <w:szCs w:val="32"/>
          <w:shd w:val="clear" w:color="auto" w:fill="FFFFFF"/>
        </w:rPr>
        <w:t>》的主要内容</w:t>
      </w:r>
    </w:p>
    <w:p w:rsidR="005D5048" w:rsidRPr="0096773E" w:rsidRDefault="00422097" w:rsidP="0096773E">
      <w:pPr>
        <w:spacing w:line="600" w:lineRule="exact"/>
        <w:ind w:firstLineChars="200" w:firstLine="640"/>
        <w:jc w:val="left"/>
        <w:rPr>
          <w:rFonts w:ascii="楷体_GB2312" w:eastAsia="楷体_GB2312" w:hAnsi="仿宋" w:cs="仿宋_GB2312" w:hint="eastAsia"/>
          <w:color w:val="000000" w:themeColor="text1"/>
          <w:sz w:val="32"/>
          <w:szCs w:val="32"/>
        </w:rPr>
      </w:pPr>
      <w:r w:rsidRPr="0096773E">
        <w:rPr>
          <w:rFonts w:ascii="楷体_GB2312" w:eastAsia="楷体_GB2312" w:hAnsi="仿宋" w:cs="仿宋_GB2312" w:hint="eastAsia"/>
          <w:color w:val="000000" w:themeColor="text1"/>
          <w:sz w:val="32"/>
          <w:szCs w:val="32"/>
        </w:rPr>
        <w:t>（一）</w:t>
      </w:r>
      <w:r w:rsidRPr="0096773E">
        <w:rPr>
          <w:rFonts w:ascii="楷体_GB2312" w:eastAsia="楷体_GB2312" w:hAnsi="仿宋" w:cs="仿宋_GB2312" w:hint="eastAsia"/>
          <w:color w:val="000000" w:themeColor="text1"/>
          <w:sz w:val="32"/>
          <w:szCs w:val="32"/>
        </w:rPr>
        <w:t>配送平台</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区</w:t>
      </w:r>
      <w:r w:rsidRPr="0096773E">
        <w:rPr>
          <w:rFonts w:ascii="仿宋_GB2312" w:eastAsia="仿宋_GB2312" w:hAnsi="仿宋" w:cs="仿宋_GB2312"/>
          <w:color w:val="000000" w:themeColor="text1"/>
          <w:sz w:val="32"/>
          <w:szCs w:val="32"/>
        </w:rPr>
        <w:t>体育局建立</w:t>
      </w:r>
      <w:r w:rsidRPr="0096773E">
        <w:rPr>
          <w:rFonts w:ascii="仿宋_GB2312" w:eastAsia="仿宋_GB2312" w:hAnsi="仿宋" w:cs="仿宋_GB2312" w:hint="eastAsia"/>
          <w:color w:val="000000" w:themeColor="text1"/>
          <w:sz w:val="32"/>
          <w:szCs w:val="32"/>
        </w:rPr>
        <w:t>嘉定</w:t>
      </w:r>
      <w:r w:rsidRPr="0096773E">
        <w:rPr>
          <w:rFonts w:ascii="仿宋_GB2312" w:eastAsia="仿宋_GB2312" w:hAnsi="仿宋" w:cs="仿宋_GB2312"/>
          <w:color w:val="000000" w:themeColor="text1"/>
          <w:sz w:val="32"/>
          <w:szCs w:val="32"/>
        </w:rPr>
        <w:t>体育消费</w:t>
      </w:r>
      <w:proofErr w:type="gramStart"/>
      <w:r w:rsidRPr="0096773E">
        <w:rPr>
          <w:rFonts w:ascii="仿宋_GB2312" w:eastAsia="仿宋_GB2312" w:hAnsi="仿宋" w:cs="仿宋_GB2312"/>
          <w:color w:val="000000" w:themeColor="text1"/>
          <w:sz w:val="32"/>
          <w:szCs w:val="32"/>
        </w:rPr>
        <w:t>券</w:t>
      </w:r>
      <w:proofErr w:type="gramEnd"/>
      <w:r w:rsidRPr="0096773E">
        <w:rPr>
          <w:rFonts w:ascii="仿宋_GB2312" w:eastAsia="仿宋_GB2312" w:hAnsi="仿宋" w:cs="仿宋_GB2312"/>
          <w:color w:val="000000" w:themeColor="text1"/>
          <w:sz w:val="32"/>
          <w:szCs w:val="32"/>
        </w:rPr>
        <w:t>配送平台</w:t>
      </w:r>
      <w:r w:rsidRPr="0096773E">
        <w:rPr>
          <w:rFonts w:ascii="仿宋_GB2312" w:eastAsia="仿宋_GB2312" w:hAnsi="仿宋" w:cs="仿宋_GB2312" w:hint="eastAsia"/>
          <w:color w:val="000000" w:themeColor="text1"/>
          <w:sz w:val="32"/>
          <w:szCs w:val="32"/>
        </w:rPr>
        <w:t>，</w:t>
      </w:r>
      <w:proofErr w:type="gramStart"/>
      <w:r w:rsidRPr="0096773E">
        <w:rPr>
          <w:rFonts w:ascii="仿宋_GB2312" w:eastAsia="仿宋_GB2312" w:hAnsi="仿宋" w:cs="仿宋_GB2312"/>
          <w:color w:val="000000" w:themeColor="text1"/>
          <w:sz w:val="32"/>
          <w:szCs w:val="32"/>
        </w:rPr>
        <w:t>探索区</w:t>
      </w:r>
      <w:proofErr w:type="gramEnd"/>
      <w:r w:rsidRPr="0096773E">
        <w:rPr>
          <w:rFonts w:ascii="仿宋_GB2312" w:eastAsia="仿宋_GB2312" w:hAnsi="仿宋" w:cs="仿宋_GB2312"/>
          <w:color w:val="000000" w:themeColor="text1"/>
          <w:sz w:val="32"/>
          <w:szCs w:val="32"/>
        </w:rPr>
        <w:t>块链、大数据等信息化技术应用</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具体落实</w:t>
      </w:r>
      <w:r w:rsidRPr="0096773E">
        <w:rPr>
          <w:rFonts w:ascii="仿宋_GB2312" w:eastAsia="仿宋_GB2312" w:hAnsi="仿宋" w:cs="仿宋_GB2312" w:hint="eastAsia"/>
          <w:color w:val="000000" w:themeColor="text1"/>
          <w:sz w:val="32"/>
          <w:szCs w:val="32"/>
        </w:rPr>
        <w:t>嘉定</w:t>
      </w:r>
      <w:r w:rsidRPr="0096773E">
        <w:rPr>
          <w:rFonts w:ascii="仿宋_GB2312" w:eastAsia="仿宋_GB2312" w:hAnsi="仿宋" w:cs="仿宋_GB2312"/>
          <w:color w:val="000000" w:themeColor="text1"/>
          <w:sz w:val="32"/>
          <w:szCs w:val="32"/>
        </w:rPr>
        <w:t>体育消费</w:t>
      </w:r>
      <w:proofErr w:type="gramStart"/>
      <w:r w:rsidRPr="0096773E">
        <w:rPr>
          <w:rFonts w:ascii="仿宋_GB2312" w:eastAsia="仿宋_GB2312" w:hAnsi="仿宋" w:cs="仿宋_GB2312"/>
          <w:color w:val="000000" w:themeColor="text1"/>
          <w:sz w:val="32"/>
          <w:szCs w:val="32"/>
        </w:rPr>
        <w:t>券</w:t>
      </w:r>
      <w:proofErr w:type="gramEnd"/>
      <w:r w:rsidRPr="0096773E">
        <w:rPr>
          <w:rFonts w:ascii="仿宋_GB2312" w:eastAsia="仿宋_GB2312" w:hAnsi="仿宋" w:cs="仿宋_GB2312"/>
          <w:color w:val="000000" w:themeColor="text1"/>
          <w:sz w:val="32"/>
          <w:szCs w:val="32"/>
        </w:rPr>
        <w:t>配送平台有关建设运营、场馆接入、数据分析、技术支持和便民服务等工作。</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color w:val="000000" w:themeColor="text1"/>
          <w:sz w:val="32"/>
          <w:szCs w:val="32"/>
        </w:rPr>
        <w:t>配送平台通过技术对接实现统一用户管理、数据共享</w:t>
      </w:r>
      <w:r w:rsidRPr="0096773E">
        <w:rPr>
          <w:rFonts w:ascii="仿宋_GB2312" w:eastAsia="仿宋_GB2312" w:hAnsi="仿宋" w:cs="仿宋_GB2312" w:hint="eastAsia"/>
          <w:color w:val="000000" w:themeColor="text1"/>
          <w:sz w:val="32"/>
          <w:szCs w:val="32"/>
        </w:rPr>
        <w:t>，</w:t>
      </w:r>
      <w:proofErr w:type="gramStart"/>
      <w:r w:rsidRPr="0096773E">
        <w:rPr>
          <w:rFonts w:ascii="仿宋_GB2312" w:eastAsia="仿宋_GB2312" w:hAnsi="仿宋" w:cs="仿宋_GB2312"/>
          <w:color w:val="000000" w:themeColor="text1"/>
          <w:sz w:val="32"/>
          <w:szCs w:val="32"/>
        </w:rPr>
        <w:t>满足线</w:t>
      </w:r>
      <w:proofErr w:type="gramEnd"/>
      <w:r w:rsidRPr="0096773E">
        <w:rPr>
          <w:rFonts w:ascii="仿宋_GB2312" w:eastAsia="仿宋_GB2312" w:hAnsi="仿宋" w:cs="仿宋_GB2312"/>
          <w:color w:val="000000" w:themeColor="text1"/>
          <w:sz w:val="32"/>
          <w:szCs w:val="32"/>
        </w:rPr>
        <w:t>上线下多样化服务场景。</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color w:val="000000" w:themeColor="text1"/>
          <w:sz w:val="32"/>
          <w:szCs w:val="32"/>
        </w:rPr>
        <w:t>配送平台建立消费</w:t>
      </w:r>
      <w:proofErr w:type="gramStart"/>
      <w:r w:rsidRPr="0096773E">
        <w:rPr>
          <w:rFonts w:ascii="仿宋_GB2312" w:eastAsia="仿宋_GB2312" w:hAnsi="仿宋" w:cs="仿宋_GB2312"/>
          <w:color w:val="000000" w:themeColor="text1"/>
          <w:sz w:val="32"/>
          <w:szCs w:val="32"/>
        </w:rPr>
        <w:t>券</w:t>
      </w:r>
      <w:proofErr w:type="gramEnd"/>
      <w:r w:rsidRPr="0096773E">
        <w:rPr>
          <w:rFonts w:ascii="仿宋_GB2312" w:eastAsia="仿宋_GB2312" w:hAnsi="仿宋" w:cs="仿宋_GB2312"/>
          <w:color w:val="000000" w:themeColor="text1"/>
          <w:sz w:val="32"/>
          <w:szCs w:val="32"/>
        </w:rPr>
        <w:t>数据实时监测、定期统计和分析评估机制</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加强运营能力和专业运营队伍建设</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做好各项服务保障</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完善智慧助老服务</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确保消费</w:t>
      </w:r>
      <w:proofErr w:type="gramStart"/>
      <w:r w:rsidRPr="0096773E">
        <w:rPr>
          <w:rFonts w:ascii="仿宋_GB2312" w:eastAsia="仿宋_GB2312" w:hAnsi="仿宋" w:cs="仿宋_GB2312"/>
          <w:color w:val="000000" w:themeColor="text1"/>
          <w:sz w:val="32"/>
          <w:szCs w:val="32"/>
        </w:rPr>
        <w:t>券</w:t>
      </w:r>
      <w:proofErr w:type="gramEnd"/>
      <w:r w:rsidRPr="0096773E">
        <w:rPr>
          <w:rFonts w:ascii="仿宋_GB2312" w:eastAsia="仿宋_GB2312" w:hAnsi="仿宋" w:cs="仿宋_GB2312"/>
          <w:color w:val="000000" w:themeColor="text1"/>
          <w:sz w:val="32"/>
          <w:szCs w:val="32"/>
        </w:rPr>
        <w:t>配送平稳有序。</w:t>
      </w:r>
    </w:p>
    <w:p w:rsidR="005D5048" w:rsidRPr="0096773E" w:rsidRDefault="00422097" w:rsidP="0096773E">
      <w:pPr>
        <w:spacing w:line="600" w:lineRule="exact"/>
        <w:ind w:firstLineChars="200" w:firstLine="640"/>
        <w:jc w:val="left"/>
        <w:rPr>
          <w:rFonts w:ascii="楷体_GB2312" w:eastAsia="楷体_GB2312" w:hAnsi="仿宋" w:cs="仿宋_GB2312"/>
          <w:color w:val="000000" w:themeColor="text1"/>
          <w:sz w:val="32"/>
          <w:szCs w:val="32"/>
        </w:rPr>
      </w:pPr>
      <w:r w:rsidRPr="0096773E">
        <w:rPr>
          <w:rFonts w:ascii="楷体_GB2312" w:eastAsia="楷体_GB2312" w:hAnsi="仿宋" w:cs="仿宋_GB2312" w:hint="eastAsia"/>
          <w:color w:val="000000" w:themeColor="text1"/>
          <w:sz w:val="32"/>
          <w:szCs w:val="32"/>
        </w:rPr>
        <w:t>（</w:t>
      </w:r>
      <w:r w:rsidRPr="0096773E">
        <w:rPr>
          <w:rFonts w:ascii="楷体_GB2312" w:eastAsia="楷体_GB2312" w:hAnsi="仿宋" w:cs="仿宋_GB2312" w:hint="eastAsia"/>
          <w:color w:val="000000" w:themeColor="text1"/>
          <w:sz w:val="32"/>
          <w:szCs w:val="32"/>
        </w:rPr>
        <w:t>二</w:t>
      </w:r>
      <w:r w:rsidRPr="0096773E">
        <w:rPr>
          <w:rFonts w:ascii="楷体_GB2312" w:eastAsia="楷体_GB2312" w:hAnsi="仿宋" w:cs="仿宋_GB2312" w:hint="eastAsia"/>
          <w:color w:val="000000" w:themeColor="text1"/>
          <w:sz w:val="32"/>
          <w:szCs w:val="32"/>
        </w:rPr>
        <w:t>）信息共享</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支持嘉定体育消费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配送平台与嘉定体育健身地图、“全嘉云动”等信息系统共建共享，在满足数据和信息安全要求的前提下，实现用户、数据、信息等资源整合、互联互通，方便市民参与。</w:t>
      </w:r>
    </w:p>
    <w:p w:rsidR="005D5048" w:rsidRPr="0096773E" w:rsidRDefault="00422097" w:rsidP="0096773E">
      <w:pPr>
        <w:spacing w:line="600" w:lineRule="exact"/>
        <w:ind w:firstLineChars="200" w:firstLine="640"/>
        <w:jc w:val="left"/>
        <w:rPr>
          <w:rFonts w:ascii="楷体_GB2312" w:eastAsia="楷体_GB2312" w:hAnsi="仿宋" w:cs="仿宋_GB2312"/>
          <w:color w:val="000000" w:themeColor="text1"/>
          <w:sz w:val="32"/>
          <w:szCs w:val="32"/>
        </w:rPr>
      </w:pPr>
      <w:r w:rsidRPr="0096773E">
        <w:rPr>
          <w:rFonts w:ascii="楷体_GB2312" w:eastAsia="楷体_GB2312" w:hAnsi="仿宋" w:cs="仿宋_GB2312" w:hint="eastAsia"/>
          <w:color w:val="000000" w:themeColor="text1"/>
          <w:sz w:val="32"/>
          <w:szCs w:val="32"/>
        </w:rPr>
        <w:t>（</w:t>
      </w:r>
      <w:r w:rsidRPr="0096773E">
        <w:rPr>
          <w:rFonts w:ascii="楷体_GB2312" w:eastAsia="楷体_GB2312" w:hAnsi="仿宋" w:cs="仿宋_GB2312" w:hint="eastAsia"/>
          <w:color w:val="000000" w:themeColor="text1"/>
          <w:sz w:val="32"/>
          <w:szCs w:val="32"/>
        </w:rPr>
        <w:t>三</w:t>
      </w:r>
      <w:r w:rsidRPr="0096773E">
        <w:rPr>
          <w:rFonts w:ascii="楷体_GB2312" w:eastAsia="楷体_GB2312" w:hAnsi="仿宋" w:cs="仿宋_GB2312" w:hint="eastAsia"/>
          <w:color w:val="000000" w:themeColor="text1"/>
          <w:sz w:val="32"/>
          <w:szCs w:val="32"/>
        </w:rPr>
        <w:t>）消费</w:t>
      </w:r>
      <w:proofErr w:type="gramStart"/>
      <w:r w:rsidRPr="0096773E">
        <w:rPr>
          <w:rFonts w:ascii="楷体_GB2312" w:eastAsia="楷体_GB2312" w:hAnsi="仿宋" w:cs="仿宋_GB2312" w:hint="eastAsia"/>
          <w:color w:val="000000" w:themeColor="text1"/>
          <w:sz w:val="32"/>
          <w:szCs w:val="32"/>
        </w:rPr>
        <w:t>券</w:t>
      </w:r>
      <w:proofErr w:type="gramEnd"/>
      <w:r w:rsidRPr="0096773E">
        <w:rPr>
          <w:rFonts w:ascii="楷体_GB2312" w:eastAsia="楷体_GB2312" w:hAnsi="仿宋" w:cs="仿宋_GB2312" w:hint="eastAsia"/>
          <w:color w:val="000000" w:themeColor="text1"/>
          <w:sz w:val="32"/>
          <w:szCs w:val="32"/>
        </w:rPr>
        <w:t>类型</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为一次性使用的电子消费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，不兑现，</w:t>
      </w:r>
      <w:proofErr w:type="gramStart"/>
      <w:r w:rsidRPr="0096773E">
        <w:rPr>
          <w:rFonts w:ascii="仿宋_GB2312" w:eastAsia="仿宋_GB2312" w:hAnsi="仿宋" w:cs="仿宋_GB2312" w:hint="eastAsia"/>
          <w:color w:val="000000" w:themeColor="text1"/>
          <w:sz w:val="32"/>
          <w:szCs w:val="32"/>
        </w:rPr>
        <w:t>不</w:t>
      </w:r>
      <w:proofErr w:type="gramEnd"/>
      <w:r w:rsidRPr="0096773E">
        <w:rPr>
          <w:rFonts w:ascii="仿宋_GB2312" w:eastAsia="仿宋_GB2312" w:hAnsi="仿宋" w:cs="仿宋_GB2312" w:hint="eastAsia"/>
          <w:color w:val="000000" w:themeColor="text1"/>
          <w:sz w:val="32"/>
          <w:szCs w:val="32"/>
        </w:rPr>
        <w:t>找零，禁止倒买倒卖和反复流通，与单用途预付消费卡、会员</w:t>
      </w:r>
      <w:r w:rsidRPr="0096773E">
        <w:rPr>
          <w:rFonts w:ascii="仿宋_GB2312" w:eastAsia="仿宋_GB2312" w:hAnsi="仿宋" w:cs="仿宋_GB2312" w:hint="eastAsia"/>
          <w:color w:val="000000" w:themeColor="text1"/>
          <w:sz w:val="32"/>
          <w:szCs w:val="32"/>
        </w:rPr>
        <w:lastRenderedPageBreak/>
        <w:t>卡、年卡、月卡等消费方式明显区别，依法规范管理，避免交易风险。</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包括</w:t>
      </w:r>
      <w:r w:rsidRPr="0096773E">
        <w:rPr>
          <w:rFonts w:ascii="仿宋_GB2312" w:eastAsia="仿宋_GB2312" w:hAnsi="仿宋" w:cs="仿宋_GB2312" w:hint="eastAsia"/>
          <w:color w:val="000000" w:themeColor="text1"/>
          <w:sz w:val="32"/>
          <w:szCs w:val="32"/>
        </w:rPr>
        <w:t>5</w:t>
      </w:r>
      <w:r w:rsidRPr="0096773E">
        <w:rPr>
          <w:rFonts w:ascii="仿宋_GB2312" w:eastAsia="仿宋_GB2312" w:hAnsi="仿宋" w:cs="仿宋_GB2312" w:hint="eastAsia"/>
          <w:color w:val="000000" w:themeColor="text1"/>
          <w:sz w:val="32"/>
          <w:szCs w:val="32"/>
        </w:rPr>
        <w:t>元、</w:t>
      </w:r>
      <w:r w:rsidRPr="0096773E">
        <w:rPr>
          <w:rFonts w:ascii="仿宋_GB2312" w:eastAsia="仿宋_GB2312" w:hAnsi="仿宋" w:cs="仿宋_GB2312" w:hint="eastAsia"/>
          <w:color w:val="000000" w:themeColor="text1"/>
          <w:sz w:val="32"/>
          <w:szCs w:val="32"/>
        </w:rPr>
        <w:t>10</w:t>
      </w:r>
      <w:r w:rsidRPr="0096773E">
        <w:rPr>
          <w:rFonts w:ascii="仿宋_GB2312" w:eastAsia="仿宋_GB2312" w:hAnsi="仿宋" w:cs="仿宋_GB2312" w:hint="eastAsia"/>
          <w:color w:val="000000" w:themeColor="text1"/>
          <w:sz w:val="32"/>
          <w:szCs w:val="32"/>
        </w:rPr>
        <w:t>元、</w:t>
      </w:r>
      <w:r w:rsidRPr="0096773E">
        <w:rPr>
          <w:rFonts w:ascii="仿宋_GB2312" w:eastAsia="仿宋_GB2312" w:hAnsi="仿宋" w:cs="仿宋_GB2312" w:hint="eastAsia"/>
          <w:color w:val="000000" w:themeColor="text1"/>
          <w:sz w:val="32"/>
          <w:szCs w:val="32"/>
        </w:rPr>
        <w:t>20</w:t>
      </w:r>
      <w:r w:rsidRPr="0096773E">
        <w:rPr>
          <w:rFonts w:ascii="仿宋_GB2312" w:eastAsia="仿宋_GB2312" w:hAnsi="仿宋" w:cs="仿宋_GB2312" w:hint="eastAsia"/>
          <w:color w:val="000000" w:themeColor="text1"/>
          <w:sz w:val="32"/>
          <w:szCs w:val="32"/>
        </w:rPr>
        <w:t>元、</w:t>
      </w:r>
      <w:r w:rsidRPr="0096773E">
        <w:rPr>
          <w:rFonts w:ascii="仿宋_GB2312" w:eastAsia="仿宋_GB2312" w:hAnsi="仿宋" w:cs="仿宋_GB2312" w:hint="eastAsia"/>
          <w:color w:val="000000" w:themeColor="text1"/>
          <w:sz w:val="32"/>
          <w:szCs w:val="32"/>
        </w:rPr>
        <w:t>30</w:t>
      </w:r>
      <w:r w:rsidRPr="0096773E">
        <w:rPr>
          <w:rFonts w:ascii="仿宋_GB2312" w:eastAsia="仿宋_GB2312" w:hAnsi="仿宋" w:cs="仿宋_GB2312" w:hint="eastAsia"/>
          <w:color w:val="000000" w:themeColor="text1"/>
          <w:sz w:val="32"/>
          <w:szCs w:val="32"/>
        </w:rPr>
        <w:t>元、</w:t>
      </w:r>
      <w:r w:rsidRPr="0096773E">
        <w:rPr>
          <w:rFonts w:ascii="仿宋_GB2312" w:eastAsia="仿宋_GB2312" w:hAnsi="仿宋" w:cs="仿宋_GB2312" w:hint="eastAsia"/>
          <w:color w:val="000000" w:themeColor="text1"/>
          <w:sz w:val="32"/>
          <w:szCs w:val="32"/>
        </w:rPr>
        <w:t>50</w:t>
      </w:r>
      <w:r w:rsidRPr="0096773E">
        <w:rPr>
          <w:rFonts w:ascii="仿宋_GB2312" w:eastAsia="仿宋_GB2312" w:hAnsi="仿宋" w:cs="仿宋_GB2312" w:hint="eastAsia"/>
          <w:color w:val="000000" w:themeColor="text1"/>
          <w:sz w:val="32"/>
          <w:szCs w:val="32"/>
        </w:rPr>
        <w:t>元、</w:t>
      </w:r>
      <w:r w:rsidRPr="0096773E">
        <w:rPr>
          <w:rFonts w:ascii="仿宋_GB2312" w:eastAsia="仿宋_GB2312" w:hAnsi="仿宋" w:cs="仿宋_GB2312" w:hint="eastAsia"/>
          <w:color w:val="000000" w:themeColor="text1"/>
          <w:sz w:val="32"/>
          <w:szCs w:val="32"/>
        </w:rPr>
        <w:t>80</w:t>
      </w:r>
      <w:r w:rsidRPr="0096773E">
        <w:rPr>
          <w:rFonts w:ascii="仿宋_GB2312" w:eastAsia="仿宋_GB2312" w:hAnsi="仿宋" w:cs="仿宋_GB2312" w:hint="eastAsia"/>
          <w:color w:val="000000" w:themeColor="text1"/>
          <w:sz w:val="32"/>
          <w:szCs w:val="32"/>
        </w:rPr>
        <w:t>元等面值，由政府补贴和定点场馆让利两部分金额组成，遵循相应的管理和使用规则。</w:t>
      </w:r>
    </w:p>
    <w:p w:rsidR="005D5048" w:rsidRDefault="005D5048" w:rsidP="0096773E">
      <w:pPr>
        <w:spacing w:line="600" w:lineRule="exact"/>
      </w:pPr>
    </w:p>
    <w:tbl>
      <w:tblPr>
        <w:tblStyle w:val="TableNormal"/>
        <w:tblW w:w="95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9"/>
        <w:gridCol w:w="1369"/>
        <w:gridCol w:w="1369"/>
        <w:gridCol w:w="1368"/>
        <w:gridCol w:w="1368"/>
        <w:gridCol w:w="1368"/>
        <w:gridCol w:w="1368"/>
      </w:tblGrid>
      <w:tr w:rsidR="005D5048" w:rsidTr="0096773E">
        <w:trPr>
          <w:trHeight w:val="839"/>
        </w:trPr>
        <w:tc>
          <w:tcPr>
            <w:tcW w:w="8504" w:type="dxa"/>
            <w:tcBorders>
              <w:top w:val="single" w:sz="2" w:space="0" w:color="000000"/>
              <w:bottom w:val="single" w:sz="2" w:space="0" w:color="000000"/>
            </w:tcBorders>
            <w:vAlign w:val="center"/>
          </w:tcPr>
          <w:p w:rsidR="005D5048" w:rsidRPr="0096773E" w:rsidRDefault="00422097" w:rsidP="0096773E">
            <w:pPr>
              <w:spacing w:before="150"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position w:val="9"/>
                <w:sz w:val="28"/>
                <w:szCs w:val="28"/>
              </w:rPr>
              <w:t>消费</w:t>
            </w:r>
            <w:proofErr w:type="gramStart"/>
            <w:r w:rsidRPr="0096773E">
              <w:rPr>
                <w:rFonts w:ascii="仿宋_GB2312" w:eastAsia="仿宋_GB2312" w:hAnsi="宋体" w:cs="宋体" w:hint="eastAsia"/>
                <w:spacing w:val="3"/>
                <w:position w:val="9"/>
                <w:sz w:val="28"/>
                <w:szCs w:val="28"/>
              </w:rPr>
              <w:t>券</w:t>
            </w:r>
            <w:proofErr w:type="gramEnd"/>
            <w:r w:rsidR="0096773E">
              <w:rPr>
                <w:rFonts w:ascii="仿宋_GB2312" w:eastAsia="仿宋_GB2312" w:hAnsi="宋体" w:cs="宋体" w:hint="eastAsia"/>
                <w:spacing w:val="3"/>
                <w:position w:val="9"/>
                <w:sz w:val="28"/>
                <w:szCs w:val="28"/>
              </w:rPr>
              <w:t xml:space="preserve">  </w:t>
            </w:r>
            <w:r w:rsidRPr="0096773E">
              <w:rPr>
                <w:rFonts w:ascii="仿宋_GB2312" w:eastAsia="仿宋_GB2312" w:hAnsi="宋体" w:cs="宋体" w:hint="eastAsia"/>
                <w:spacing w:val="4"/>
                <w:sz w:val="28"/>
                <w:szCs w:val="28"/>
              </w:rPr>
              <w:t>面值</w:t>
            </w:r>
          </w:p>
        </w:tc>
        <w:tc>
          <w:tcPr>
            <w:tcW w:w="8504" w:type="dxa"/>
            <w:tcBorders>
              <w:top w:val="single" w:sz="2" w:space="0" w:color="000000"/>
              <w:bottom w:val="single" w:sz="2" w:space="0" w:color="000000"/>
            </w:tcBorders>
          </w:tcPr>
          <w:p w:rsidR="005D5048" w:rsidRPr="0096773E" w:rsidRDefault="00422097" w:rsidP="0096773E">
            <w:pPr>
              <w:spacing w:before="30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7"/>
                <w:sz w:val="28"/>
                <w:szCs w:val="28"/>
              </w:rPr>
              <w:t>5</w:t>
            </w:r>
            <w:r w:rsidRPr="0096773E">
              <w:rPr>
                <w:rFonts w:ascii="仿宋_GB2312" w:eastAsia="仿宋_GB2312" w:hAnsi="宋体" w:cs="宋体" w:hint="eastAsia"/>
                <w:spacing w:val="7"/>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30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10</w:t>
            </w:r>
            <w:r w:rsidRPr="0096773E">
              <w:rPr>
                <w:rFonts w:ascii="仿宋_GB2312" w:eastAsia="仿宋_GB2312" w:hAnsi="宋体" w:cs="宋体" w:hint="eastAsia"/>
                <w:spacing w:val="3"/>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30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20</w:t>
            </w:r>
            <w:r w:rsidRPr="0096773E">
              <w:rPr>
                <w:rFonts w:ascii="仿宋_GB2312" w:eastAsia="仿宋_GB2312" w:hAnsi="宋体" w:cs="宋体" w:hint="eastAsia"/>
                <w:spacing w:val="3"/>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30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30</w:t>
            </w:r>
            <w:r w:rsidRPr="0096773E">
              <w:rPr>
                <w:rFonts w:ascii="仿宋_GB2312" w:eastAsia="仿宋_GB2312" w:hAnsi="宋体" w:cs="宋体" w:hint="eastAsia"/>
                <w:spacing w:val="3"/>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30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50</w:t>
            </w:r>
            <w:r w:rsidRPr="0096773E">
              <w:rPr>
                <w:rFonts w:ascii="仿宋_GB2312" w:eastAsia="仿宋_GB2312" w:hAnsi="宋体" w:cs="宋体" w:hint="eastAsia"/>
                <w:spacing w:val="3"/>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30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80</w:t>
            </w:r>
            <w:r w:rsidRPr="0096773E">
              <w:rPr>
                <w:rFonts w:ascii="仿宋_GB2312" w:eastAsia="仿宋_GB2312" w:hAnsi="宋体" w:cs="宋体" w:hint="eastAsia"/>
                <w:spacing w:val="3"/>
                <w:sz w:val="28"/>
                <w:szCs w:val="28"/>
              </w:rPr>
              <w:t>元</w:t>
            </w:r>
          </w:p>
        </w:tc>
      </w:tr>
      <w:tr w:rsidR="005D5048" w:rsidTr="0096773E">
        <w:trPr>
          <w:trHeight w:val="914"/>
        </w:trPr>
        <w:tc>
          <w:tcPr>
            <w:tcW w:w="8504" w:type="dxa"/>
            <w:tcBorders>
              <w:top w:val="single" w:sz="2" w:space="0" w:color="000000"/>
              <w:bottom w:val="single" w:sz="2" w:space="0" w:color="000000"/>
            </w:tcBorders>
            <w:vAlign w:val="center"/>
          </w:tcPr>
          <w:p w:rsidR="005D5048" w:rsidRPr="0096773E" w:rsidRDefault="00422097" w:rsidP="0096773E">
            <w:pPr>
              <w:spacing w:before="194" w:line="400" w:lineRule="exact"/>
              <w:ind w:left="154" w:right="146"/>
              <w:jc w:val="center"/>
              <w:rPr>
                <w:rFonts w:ascii="仿宋_GB2312" w:eastAsia="仿宋_GB2312" w:hAnsi="宋体" w:cs="宋体"/>
                <w:sz w:val="28"/>
                <w:szCs w:val="28"/>
              </w:rPr>
            </w:pPr>
            <w:r w:rsidRPr="0096773E">
              <w:rPr>
                <w:rFonts w:ascii="仿宋_GB2312" w:eastAsia="仿宋_GB2312" w:hAnsi="宋体" w:cs="宋体" w:hint="eastAsia"/>
                <w:spacing w:val="2"/>
                <w:sz w:val="28"/>
                <w:szCs w:val="28"/>
              </w:rPr>
              <w:t>政府补贴</w:t>
            </w:r>
            <w:r w:rsidRPr="0096773E">
              <w:rPr>
                <w:rFonts w:ascii="仿宋_GB2312" w:eastAsia="仿宋_GB2312" w:hAnsi="宋体" w:cs="宋体" w:hint="eastAsia"/>
                <w:spacing w:val="4"/>
                <w:sz w:val="28"/>
                <w:szCs w:val="28"/>
              </w:rPr>
              <w:t>金额</w:t>
            </w:r>
          </w:p>
        </w:tc>
        <w:tc>
          <w:tcPr>
            <w:tcW w:w="8504" w:type="dxa"/>
            <w:tcBorders>
              <w:top w:val="single" w:sz="2" w:space="0" w:color="000000"/>
              <w:bottom w:val="single" w:sz="2" w:space="0" w:color="000000"/>
            </w:tcBorders>
          </w:tcPr>
          <w:p w:rsidR="005D5048" w:rsidRPr="0096773E" w:rsidRDefault="00422097" w:rsidP="0096773E">
            <w:pPr>
              <w:spacing w:before="8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7"/>
                <w:sz w:val="28"/>
                <w:szCs w:val="28"/>
              </w:rPr>
              <w:t>4</w:t>
            </w:r>
            <w:r w:rsidRPr="0096773E">
              <w:rPr>
                <w:rFonts w:ascii="仿宋_GB2312" w:eastAsia="仿宋_GB2312" w:hAnsi="宋体" w:cs="宋体" w:hint="eastAsia"/>
                <w:spacing w:val="7"/>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8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2"/>
                <w:sz w:val="28"/>
                <w:szCs w:val="28"/>
              </w:rPr>
              <w:t>8</w:t>
            </w:r>
            <w:r w:rsidRPr="0096773E">
              <w:rPr>
                <w:rFonts w:ascii="仿宋_GB2312" w:eastAsia="仿宋_GB2312" w:hAnsi="宋体" w:cs="宋体" w:hint="eastAsia"/>
                <w:spacing w:val="-2"/>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8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15</w:t>
            </w:r>
            <w:r w:rsidRPr="0096773E">
              <w:rPr>
                <w:rFonts w:ascii="仿宋_GB2312" w:eastAsia="仿宋_GB2312" w:hAnsi="宋体" w:cs="宋体" w:hint="eastAsia"/>
                <w:spacing w:val="3"/>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8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20</w:t>
            </w:r>
            <w:r w:rsidRPr="0096773E">
              <w:rPr>
                <w:rFonts w:ascii="仿宋_GB2312" w:eastAsia="仿宋_GB2312" w:hAnsi="宋体" w:cs="宋体" w:hint="eastAsia"/>
                <w:spacing w:val="3"/>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8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30</w:t>
            </w:r>
            <w:r w:rsidRPr="0096773E">
              <w:rPr>
                <w:rFonts w:ascii="仿宋_GB2312" w:eastAsia="仿宋_GB2312" w:hAnsi="宋体" w:cs="宋体" w:hint="eastAsia"/>
                <w:spacing w:val="3"/>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81"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50</w:t>
            </w:r>
            <w:r w:rsidRPr="0096773E">
              <w:rPr>
                <w:rFonts w:ascii="仿宋_GB2312" w:eastAsia="仿宋_GB2312" w:hAnsi="宋体" w:cs="宋体" w:hint="eastAsia"/>
                <w:spacing w:val="3"/>
                <w:sz w:val="28"/>
                <w:szCs w:val="28"/>
              </w:rPr>
              <w:t>元</w:t>
            </w:r>
          </w:p>
        </w:tc>
      </w:tr>
      <w:tr w:rsidR="005D5048" w:rsidTr="0096773E">
        <w:trPr>
          <w:trHeight w:val="804"/>
        </w:trPr>
        <w:tc>
          <w:tcPr>
            <w:tcW w:w="8504" w:type="dxa"/>
            <w:tcBorders>
              <w:top w:val="single" w:sz="2" w:space="0" w:color="000000"/>
              <w:bottom w:val="single" w:sz="2" w:space="0" w:color="000000"/>
            </w:tcBorders>
            <w:vAlign w:val="center"/>
          </w:tcPr>
          <w:p w:rsidR="005D5048" w:rsidRPr="0096773E" w:rsidRDefault="00422097" w:rsidP="0096773E">
            <w:pPr>
              <w:spacing w:before="126" w:line="400" w:lineRule="exact"/>
              <w:ind w:right="147"/>
              <w:jc w:val="center"/>
              <w:rPr>
                <w:rFonts w:ascii="仿宋_GB2312" w:eastAsia="仿宋_GB2312" w:hAnsi="宋体" w:cs="宋体"/>
                <w:sz w:val="28"/>
                <w:szCs w:val="28"/>
              </w:rPr>
            </w:pPr>
            <w:r w:rsidRPr="0096773E">
              <w:rPr>
                <w:rFonts w:ascii="仿宋_GB2312" w:eastAsia="仿宋_GB2312" w:hAnsi="宋体" w:cs="宋体" w:hint="eastAsia"/>
                <w:spacing w:val="2"/>
                <w:sz w:val="28"/>
                <w:szCs w:val="28"/>
              </w:rPr>
              <w:t>定点场馆让利金额</w:t>
            </w:r>
          </w:p>
        </w:tc>
        <w:tc>
          <w:tcPr>
            <w:tcW w:w="8504" w:type="dxa"/>
            <w:tcBorders>
              <w:top w:val="single" w:sz="2" w:space="0" w:color="000000"/>
              <w:bottom w:val="single" w:sz="2" w:space="0" w:color="000000"/>
            </w:tcBorders>
          </w:tcPr>
          <w:p w:rsidR="005D5048" w:rsidRPr="0096773E" w:rsidRDefault="00422097" w:rsidP="0096773E">
            <w:pPr>
              <w:spacing w:before="288" w:line="400" w:lineRule="exact"/>
              <w:jc w:val="center"/>
              <w:rPr>
                <w:rFonts w:ascii="仿宋_GB2312" w:eastAsia="仿宋_GB2312" w:hAnsi="宋体" w:cs="宋体"/>
                <w:sz w:val="28"/>
                <w:szCs w:val="28"/>
              </w:rPr>
            </w:pPr>
            <w:r w:rsidRPr="0096773E">
              <w:rPr>
                <w:rFonts w:ascii="仿宋_GB2312" w:eastAsia="仿宋_GB2312" w:hAnsi="宋体" w:cs="宋体" w:hint="eastAsia"/>
                <w:spacing w:val="7"/>
                <w:sz w:val="28"/>
                <w:szCs w:val="28"/>
              </w:rPr>
              <w:t>1</w:t>
            </w:r>
            <w:r w:rsidRPr="0096773E">
              <w:rPr>
                <w:rFonts w:ascii="仿宋_GB2312" w:eastAsia="仿宋_GB2312" w:hAnsi="宋体" w:cs="宋体" w:hint="eastAsia"/>
                <w:spacing w:val="7"/>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288"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2</w:t>
            </w:r>
            <w:r w:rsidRPr="0096773E">
              <w:rPr>
                <w:rFonts w:ascii="仿宋_GB2312" w:eastAsia="仿宋_GB2312" w:hAnsi="宋体" w:cs="宋体" w:hint="eastAsia"/>
                <w:spacing w:val="-3"/>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288" w:line="400" w:lineRule="exact"/>
              <w:jc w:val="center"/>
              <w:rPr>
                <w:rFonts w:ascii="仿宋_GB2312" w:eastAsia="仿宋_GB2312" w:hAnsi="宋体" w:cs="宋体"/>
                <w:sz w:val="28"/>
                <w:szCs w:val="28"/>
              </w:rPr>
            </w:pPr>
            <w:r w:rsidRPr="0096773E">
              <w:rPr>
                <w:rFonts w:ascii="仿宋_GB2312" w:eastAsia="仿宋_GB2312" w:hAnsi="宋体" w:cs="宋体" w:hint="eastAsia"/>
                <w:spacing w:val="7"/>
                <w:sz w:val="28"/>
                <w:szCs w:val="28"/>
              </w:rPr>
              <w:t>5</w:t>
            </w:r>
            <w:r w:rsidRPr="0096773E">
              <w:rPr>
                <w:rFonts w:ascii="仿宋_GB2312" w:eastAsia="仿宋_GB2312" w:hAnsi="宋体" w:cs="宋体" w:hint="eastAsia"/>
                <w:spacing w:val="7"/>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288"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10</w:t>
            </w:r>
            <w:r w:rsidRPr="0096773E">
              <w:rPr>
                <w:rFonts w:ascii="仿宋_GB2312" w:eastAsia="仿宋_GB2312" w:hAnsi="宋体" w:cs="宋体" w:hint="eastAsia"/>
                <w:spacing w:val="3"/>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288"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20</w:t>
            </w:r>
            <w:r w:rsidRPr="0096773E">
              <w:rPr>
                <w:rFonts w:ascii="仿宋_GB2312" w:eastAsia="仿宋_GB2312" w:hAnsi="宋体" w:cs="宋体" w:hint="eastAsia"/>
                <w:spacing w:val="3"/>
                <w:sz w:val="28"/>
                <w:szCs w:val="28"/>
              </w:rPr>
              <w:t>元</w:t>
            </w:r>
          </w:p>
        </w:tc>
        <w:tc>
          <w:tcPr>
            <w:tcW w:w="8504" w:type="dxa"/>
            <w:tcBorders>
              <w:top w:val="single" w:sz="2" w:space="0" w:color="000000"/>
              <w:bottom w:val="single" w:sz="2" w:space="0" w:color="000000"/>
            </w:tcBorders>
          </w:tcPr>
          <w:p w:rsidR="005D5048" w:rsidRPr="0096773E" w:rsidRDefault="00422097" w:rsidP="0096773E">
            <w:pPr>
              <w:spacing w:before="288" w:line="400" w:lineRule="exact"/>
              <w:jc w:val="center"/>
              <w:rPr>
                <w:rFonts w:ascii="仿宋_GB2312" w:eastAsia="仿宋_GB2312" w:hAnsi="宋体" w:cs="宋体"/>
                <w:sz w:val="28"/>
                <w:szCs w:val="28"/>
              </w:rPr>
            </w:pPr>
            <w:r w:rsidRPr="0096773E">
              <w:rPr>
                <w:rFonts w:ascii="仿宋_GB2312" w:eastAsia="仿宋_GB2312" w:hAnsi="宋体" w:cs="宋体" w:hint="eastAsia"/>
                <w:spacing w:val="3"/>
                <w:sz w:val="28"/>
                <w:szCs w:val="28"/>
              </w:rPr>
              <w:t>30</w:t>
            </w:r>
            <w:r w:rsidRPr="0096773E">
              <w:rPr>
                <w:rFonts w:ascii="仿宋_GB2312" w:eastAsia="仿宋_GB2312" w:hAnsi="宋体" w:cs="宋体" w:hint="eastAsia"/>
                <w:spacing w:val="3"/>
                <w:sz w:val="28"/>
                <w:szCs w:val="28"/>
              </w:rPr>
              <w:t>元</w:t>
            </w:r>
          </w:p>
        </w:tc>
      </w:tr>
      <w:tr w:rsidR="005D5048" w:rsidTr="0096773E">
        <w:trPr>
          <w:trHeight w:val="1508"/>
        </w:trPr>
        <w:tc>
          <w:tcPr>
            <w:tcW w:w="8504" w:type="dxa"/>
            <w:tcBorders>
              <w:top w:val="single" w:sz="2" w:space="0" w:color="000000"/>
              <w:bottom w:val="single" w:sz="2" w:space="0" w:color="000000"/>
            </w:tcBorders>
            <w:vAlign w:val="center"/>
          </w:tcPr>
          <w:p w:rsidR="005D5048" w:rsidRPr="0096773E" w:rsidRDefault="00422097" w:rsidP="0096773E">
            <w:pPr>
              <w:spacing w:before="81" w:line="400" w:lineRule="exact"/>
              <w:ind w:right="127"/>
              <w:jc w:val="center"/>
              <w:rPr>
                <w:rFonts w:ascii="仿宋_GB2312" w:eastAsia="仿宋_GB2312" w:hAnsi="宋体" w:cs="宋体"/>
                <w:sz w:val="28"/>
                <w:szCs w:val="28"/>
              </w:rPr>
            </w:pPr>
            <w:r w:rsidRPr="0096773E">
              <w:rPr>
                <w:rFonts w:ascii="仿宋_GB2312" w:eastAsia="仿宋_GB2312" w:hAnsi="宋体" w:cs="宋体" w:hint="eastAsia"/>
                <w:spacing w:val="7"/>
                <w:sz w:val="28"/>
                <w:szCs w:val="28"/>
              </w:rPr>
              <w:t>市民使用</w:t>
            </w:r>
            <w:r w:rsidRPr="0096773E">
              <w:rPr>
                <w:rFonts w:ascii="仿宋_GB2312" w:eastAsia="仿宋_GB2312" w:hAnsi="宋体" w:cs="宋体" w:hint="eastAsia"/>
                <w:spacing w:val="11"/>
                <w:sz w:val="28"/>
                <w:szCs w:val="28"/>
              </w:rPr>
              <w:t>规则</w:t>
            </w:r>
          </w:p>
        </w:tc>
        <w:tc>
          <w:tcPr>
            <w:tcW w:w="8504" w:type="dxa"/>
            <w:tcBorders>
              <w:top w:val="single" w:sz="2" w:space="0" w:color="000000"/>
              <w:bottom w:val="single" w:sz="2" w:space="0" w:color="000000"/>
            </w:tcBorders>
            <w:vAlign w:val="center"/>
          </w:tcPr>
          <w:p w:rsidR="005D5048" w:rsidRPr="0096773E" w:rsidRDefault="00422097" w:rsidP="0096773E">
            <w:pPr>
              <w:spacing w:before="81" w:line="400" w:lineRule="exact"/>
              <w:ind w:right="152"/>
              <w:jc w:val="center"/>
              <w:rPr>
                <w:rFonts w:ascii="仿宋_GB2312" w:eastAsia="仿宋_GB2312" w:hAnsi="宋体" w:cs="宋体"/>
                <w:spacing w:val="2"/>
                <w:sz w:val="28"/>
                <w:szCs w:val="28"/>
              </w:rPr>
            </w:pPr>
            <w:r w:rsidRPr="0096773E">
              <w:rPr>
                <w:rFonts w:ascii="仿宋_GB2312" w:eastAsia="仿宋_GB2312" w:hAnsi="宋体" w:cs="宋体" w:hint="eastAsia"/>
                <w:spacing w:val="2"/>
                <w:sz w:val="28"/>
                <w:szCs w:val="28"/>
              </w:rPr>
              <w:t>满</w:t>
            </w:r>
            <w:r w:rsidRPr="0096773E">
              <w:rPr>
                <w:rFonts w:ascii="仿宋_GB2312" w:eastAsia="仿宋_GB2312" w:hAnsi="宋体" w:cs="宋体" w:hint="eastAsia"/>
                <w:spacing w:val="2"/>
                <w:sz w:val="28"/>
                <w:szCs w:val="28"/>
              </w:rPr>
              <w:t>10</w:t>
            </w:r>
            <w:r w:rsidRPr="0096773E">
              <w:rPr>
                <w:rFonts w:ascii="仿宋_GB2312" w:eastAsia="仿宋_GB2312" w:hAnsi="宋体" w:cs="宋体" w:hint="eastAsia"/>
                <w:spacing w:val="2"/>
                <w:sz w:val="28"/>
                <w:szCs w:val="28"/>
              </w:rPr>
              <w:t>元</w:t>
            </w:r>
          </w:p>
          <w:p w:rsidR="005D5048" w:rsidRPr="0096773E" w:rsidRDefault="00422097" w:rsidP="0096773E">
            <w:pPr>
              <w:spacing w:before="81" w:line="400" w:lineRule="exact"/>
              <w:ind w:left="285" w:right="152" w:hanging="120"/>
              <w:jc w:val="center"/>
              <w:rPr>
                <w:rFonts w:ascii="仿宋_GB2312" w:eastAsia="仿宋_GB2312" w:hAnsi="宋体" w:cs="宋体"/>
                <w:sz w:val="28"/>
                <w:szCs w:val="28"/>
              </w:rPr>
            </w:pPr>
            <w:r w:rsidRPr="0096773E">
              <w:rPr>
                <w:rFonts w:ascii="仿宋_GB2312" w:eastAsia="仿宋_GB2312" w:hAnsi="宋体" w:cs="宋体" w:hint="eastAsia"/>
                <w:spacing w:val="2"/>
                <w:sz w:val="28"/>
                <w:szCs w:val="28"/>
              </w:rPr>
              <w:t>可用</w:t>
            </w:r>
          </w:p>
        </w:tc>
        <w:tc>
          <w:tcPr>
            <w:tcW w:w="8504" w:type="dxa"/>
            <w:tcBorders>
              <w:top w:val="single" w:sz="2" w:space="0" w:color="000000"/>
              <w:bottom w:val="single" w:sz="2" w:space="0" w:color="000000"/>
            </w:tcBorders>
            <w:vAlign w:val="center"/>
          </w:tcPr>
          <w:p w:rsidR="005D5048" w:rsidRPr="0096773E" w:rsidRDefault="00422097" w:rsidP="0096773E">
            <w:pPr>
              <w:spacing w:line="400" w:lineRule="exact"/>
              <w:jc w:val="center"/>
              <w:rPr>
                <w:rFonts w:ascii="仿宋_GB2312" w:eastAsia="仿宋_GB2312"/>
                <w:sz w:val="28"/>
                <w:szCs w:val="28"/>
              </w:rPr>
            </w:pPr>
            <w:r w:rsidRPr="0096773E">
              <w:rPr>
                <w:rFonts w:ascii="仿宋_GB2312" w:eastAsia="仿宋_GB2312" w:hint="eastAsia"/>
                <w:sz w:val="28"/>
                <w:szCs w:val="28"/>
              </w:rPr>
              <w:t>满</w:t>
            </w:r>
            <w:r w:rsidRPr="0096773E">
              <w:rPr>
                <w:rFonts w:ascii="仿宋_GB2312" w:eastAsia="仿宋_GB2312" w:hint="eastAsia"/>
                <w:sz w:val="28"/>
                <w:szCs w:val="28"/>
              </w:rPr>
              <w:t>20</w:t>
            </w:r>
            <w:r w:rsidRPr="0096773E">
              <w:rPr>
                <w:rFonts w:ascii="仿宋_GB2312" w:eastAsia="仿宋_GB2312" w:hint="eastAsia"/>
                <w:sz w:val="28"/>
                <w:szCs w:val="28"/>
              </w:rPr>
              <w:t>元</w:t>
            </w:r>
          </w:p>
          <w:p w:rsidR="005D5048" w:rsidRPr="0096773E" w:rsidRDefault="00422097" w:rsidP="0096773E">
            <w:pPr>
              <w:spacing w:line="400" w:lineRule="exact"/>
              <w:jc w:val="center"/>
              <w:rPr>
                <w:rFonts w:ascii="仿宋_GB2312" w:eastAsia="仿宋_GB2312" w:hAnsi="宋体" w:cs="宋体"/>
                <w:sz w:val="28"/>
                <w:szCs w:val="28"/>
              </w:rPr>
            </w:pPr>
            <w:r w:rsidRPr="0096773E">
              <w:rPr>
                <w:rFonts w:ascii="仿宋_GB2312" w:eastAsia="仿宋_GB2312" w:hint="eastAsia"/>
                <w:sz w:val="28"/>
                <w:szCs w:val="28"/>
              </w:rPr>
              <w:t>可用</w:t>
            </w:r>
          </w:p>
        </w:tc>
        <w:tc>
          <w:tcPr>
            <w:tcW w:w="8504" w:type="dxa"/>
            <w:tcBorders>
              <w:top w:val="single" w:sz="2" w:space="0" w:color="000000"/>
              <w:bottom w:val="single" w:sz="2" w:space="0" w:color="000000"/>
            </w:tcBorders>
            <w:vAlign w:val="center"/>
          </w:tcPr>
          <w:p w:rsidR="005D5048" w:rsidRPr="0096773E" w:rsidRDefault="00422097" w:rsidP="0096773E">
            <w:pPr>
              <w:spacing w:before="81" w:line="400" w:lineRule="exact"/>
              <w:ind w:left="165" w:right="152"/>
              <w:jc w:val="center"/>
              <w:rPr>
                <w:rFonts w:ascii="仿宋_GB2312" w:eastAsia="仿宋_GB2312" w:hAnsi="宋体" w:cs="宋体"/>
                <w:sz w:val="28"/>
                <w:szCs w:val="28"/>
              </w:rPr>
            </w:pPr>
            <w:r w:rsidRPr="0096773E">
              <w:rPr>
                <w:rFonts w:ascii="仿宋_GB2312" w:eastAsia="仿宋_GB2312" w:hAnsi="宋体" w:cs="宋体" w:hint="eastAsia"/>
                <w:spacing w:val="2"/>
                <w:sz w:val="28"/>
                <w:szCs w:val="28"/>
              </w:rPr>
              <w:t>满</w:t>
            </w:r>
            <w:r w:rsidRPr="0096773E">
              <w:rPr>
                <w:rFonts w:ascii="仿宋_GB2312" w:eastAsia="仿宋_GB2312" w:hAnsi="宋体" w:cs="宋体" w:hint="eastAsia"/>
                <w:spacing w:val="2"/>
                <w:sz w:val="28"/>
                <w:szCs w:val="28"/>
              </w:rPr>
              <w:t>40</w:t>
            </w:r>
            <w:r w:rsidRPr="0096773E">
              <w:rPr>
                <w:rFonts w:ascii="仿宋_GB2312" w:eastAsia="仿宋_GB2312" w:hAnsi="宋体" w:cs="宋体" w:hint="eastAsia"/>
                <w:spacing w:val="2"/>
                <w:sz w:val="28"/>
                <w:szCs w:val="28"/>
              </w:rPr>
              <w:t>元</w:t>
            </w:r>
            <w:r w:rsidRPr="0096773E">
              <w:rPr>
                <w:rFonts w:ascii="仿宋_GB2312" w:eastAsia="仿宋_GB2312" w:hAnsi="宋体" w:cs="宋体" w:hint="eastAsia"/>
                <w:spacing w:val="15"/>
                <w:sz w:val="28"/>
                <w:szCs w:val="28"/>
              </w:rPr>
              <w:t>可用</w:t>
            </w:r>
          </w:p>
        </w:tc>
        <w:tc>
          <w:tcPr>
            <w:tcW w:w="8504" w:type="dxa"/>
            <w:tcBorders>
              <w:top w:val="single" w:sz="2" w:space="0" w:color="000000"/>
              <w:bottom w:val="single" w:sz="2" w:space="0" w:color="000000"/>
            </w:tcBorders>
            <w:vAlign w:val="center"/>
          </w:tcPr>
          <w:p w:rsidR="005D5048" w:rsidRPr="0096773E" w:rsidRDefault="00422097" w:rsidP="0096773E">
            <w:pPr>
              <w:spacing w:before="81" w:line="400" w:lineRule="exact"/>
              <w:ind w:left="147" w:right="141"/>
              <w:jc w:val="center"/>
              <w:rPr>
                <w:rFonts w:ascii="仿宋_GB2312" w:eastAsia="仿宋_GB2312" w:hAnsi="宋体" w:cs="宋体"/>
                <w:sz w:val="28"/>
                <w:szCs w:val="28"/>
              </w:rPr>
            </w:pPr>
            <w:r w:rsidRPr="0096773E">
              <w:rPr>
                <w:rFonts w:ascii="仿宋_GB2312" w:eastAsia="仿宋_GB2312" w:hAnsi="宋体" w:cs="宋体" w:hint="eastAsia"/>
                <w:spacing w:val="2"/>
                <w:sz w:val="28"/>
                <w:szCs w:val="28"/>
              </w:rPr>
              <w:t>满</w:t>
            </w:r>
            <w:r w:rsidRPr="0096773E">
              <w:rPr>
                <w:rFonts w:ascii="仿宋_GB2312" w:eastAsia="仿宋_GB2312" w:hAnsi="宋体" w:cs="宋体" w:hint="eastAsia"/>
                <w:spacing w:val="2"/>
                <w:sz w:val="28"/>
                <w:szCs w:val="28"/>
              </w:rPr>
              <w:t>60</w:t>
            </w:r>
            <w:r w:rsidRPr="0096773E">
              <w:rPr>
                <w:rFonts w:ascii="仿宋_GB2312" w:eastAsia="仿宋_GB2312" w:hAnsi="宋体" w:cs="宋体" w:hint="eastAsia"/>
                <w:spacing w:val="2"/>
                <w:sz w:val="28"/>
                <w:szCs w:val="28"/>
              </w:rPr>
              <w:t>元</w:t>
            </w:r>
            <w:r w:rsidRPr="0096773E">
              <w:rPr>
                <w:rFonts w:ascii="仿宋_GB2312" w:eastAsia="仿宋_GB2312" w:hAnsi="宋体" w:cs="宋体" w:hint="eastAsia"/>
                <w:spacing w:val="15"/>
                <w:sz w:val="28"/>
                <w:szCs w:val="28"/>
              </w:rPr>
              <w:t>可用</w:t>
            </w:r>
          </w:p>
        </w:tc>
        <w:tc>
          <w:tcPr>
            <w:tcW w:w="8504" w:type="dxa"/>
            <w:tcBorders>
              <w:top w:val="single" w:sz="2" w:space="0" w:color="000000"/>
              <w:bottom w:val="single" w:sz="2" w:space="0" w:color="000000"/>
            </w:tcBorders>
            <w:vAlign w:val="center"/>
          </w:tcPr>
          <w:p w:rsidR="005D5048" w:rsidRPr="0096773E" w:rsidRDefault="00422097" w:rsidP="0096773E">
            <w:pPr>
              <w:spacing w:before="81" w:line="400" w:lineRule="exact"/>
              <w:ind w:left="127" w:right="215"/>
              <w:jc w:val="center"/>
              <w:rPr>
                <w:rFonts w:ascii="仿宋_GB2312" w:eastAsia="仿宋_GB2312" w:hAnsi="宋体" w:cs="宋体"/>
                <w:sz w:val="28"/>
                <w:szCs w:val="28"/>
              </w:rPr>
            </w:pPr>
            <w:r w:rsidRPr="0096773E">
              <w:rPr>
                <w:rFonts w:ascii="仿宋_GB2312" w:eastAsia="仿宋_GB2312" w:hAnsi="宋体" w:cs="宋体" w:hint="eastAsia"/>
                <w:spacing w:val="-2"/>
                <w:sz w:val="28"/>
                <w:szCs w:val="28"/>
              </w:rPr>
              <w:t>满</w:t>
            </w:r>
            <w:r w:rsidRPr="0096773E">
              <w:rPr>
                <w:rFonts w:ascii="仿宋_GB2312" w:eastAsia="仿宋_GB2312" w:hAnsi="宋体" w:cs="宋体" w:hint="eastAsia"/>
                <w:spacing w:val="-2"/>
                <w:sz w:val="28"/>
                <w:szCs w:val="28"/>
              </w:rPr>
              <w:t>120</w:t>
            </w:r>
            <w:r w:rsidRPr="0096773E">
              <w:rPr>
                <w:rFonts w:ascii="仿宋_GB2312" w:eastAsia="仿宋_GB2312" w:hAnsi="宋体" w:cs="宋体" w:hint="eastAsia"/>
                <w:spacing w:val="-2"/>
                <w:sz w:val="28"/>
                <w:szCs w:val="28"/>
              </w:rPr>
              <w:t>元</w:t>
            </w:r>
            <w:r w:rsidRPr="0096773E">
              <w:rPr>
                <w:rFonts w:ascii="仿宋_GB2312" w:eastAsia="仿宋_GB2312" w:hAnsi="宋体" w:cs="宋体" w:hint="eastAsia"/>
                <w:spacing w:val="15"/>
                <w:sz w:val="28"/>
                <w:szCs w:val="28"/>
              </w:rPr>
              <w:t>可用</w:t>
            </w:r>
          </w:p>
        </w:tc>
        <w:tc>
          <w:tcPr>
            <w:tcW w:w="8504" w:type="dxa"/>
            <w:tcBorders>
              <w:top w:val="single" w:sz="2" w:space="0" w:color="000000"/>
              <w:bottom w:val="single" w:sz="2" w:space="0" w:color="000000"/>
            </w:tcBorders>
            <w:vAlign w:val="center"/>
          </w:tcPr>
          <w:p w:rsidR="005D5048" w:rsidRPr="0096773E" w:rsidRDefault="00422097" w:rsidP="0096773E">
            <w:pPr>
              <w:spacing w:before="81" w:line="400" w:lineRule="exact"/>
              <w:ind w:left="168" w:right="178"/>
              <w:jc w:val="center"/>
              <w:rPr>
                <w:rFonts w:ascii="仿宋_GB2312" w:eastAsia="仿宋_GB2312" w:hAnsi="宋体" w:cs="宋体"/>
                <w:sz w:val="28"/>
                <w:szCs w:val="28"/>
              </w:rPr>
            </w:pPr>
            <w:r w:rsidRPr="0096773E">
              <w:rPr>
                <w:rFonts w:ascii="仿宋_GB2312" w:eastAsia="仿宋_GB2312" w:hAnsi="宋体" w:cs="宋体" w:hint="eastAsia"/>
                <w:spacing w:val="-2"/>
                <w:sz w:val="28"/>
                <w:szCs w:val="28"/>
              </w:rPr>
              <w:t>满</w:t>
            </w:r>
            <w:r w:rsidRPr="0096773E">
              <w:rPr>
                <w:rFonts w:ascii="仿宋_GB2312" w:eastAsia="仿宋_GB2312" w:hAnsi="宋体" w:cs="宋体" w:hint="eastAsia"/>
                <w:spacing w:val="-2"/>
                <w:sz w:val="28"/>
                <w:szCs w:val="28"/>
              </w:rPr>
              <w:t>200</w:t>
            </w:r>
            <w:r w:rsidRPr="0096773E">
              <w:rPr>
                <w:rFonts w:ascii="仿宋_GB2312" w:eastAsia="仿宋_GB2312" w:hAnsi="宋体" w:cs="宋体" w:hint="eastAsia"/>
                <w:spacing w:val="-2"/>
                <w:sz w:val="28"/>
                <w:szCs w:val="28"/>
              </w:rPr>
              <w:t>元</w:t>
            </w:r>
            <w:r w:rsidRPr="0096773E">
              <w:rPr>
                <w:rFonts w:ascii="仿宋_GB2312" w:eastAsia="仿宋_GB2312" w:hAnsi="宋体" w:cs="宋体" w:hint="eastAsia"/>
                <w:spacing w:val="15"/>
                <w:sz w:val="28"/>
                <w:szCs w:val="28"/>
              </w:rPr>
              <w:t>可用</w:t>
            </w:r>
          </w:p>
        </w:tc>
      </w:tr>
    </w:tbl>
    <w:p w:rsidR="005D5048" w:rsidRDefault="005D5048" w:rsidP="0096773E">
      <w:pPr>
        <w:spacing w:line="600" w:lineRule="exact"/>
      </w:pPr>
    </w:p>
    <w:p w:rsidR="005D5048" w:rsidRPr="0096773E" w:rsidRDefault="00422097" w:rsidP="0096773E">
      <w:pPr>
        <w:spacing w:line="600" w:lineRule="exact"/>
        <w:ind w:firstLineChars="200" w:firstLine="643"/>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b/>
          <w:color w:val="000000" w:themeColor="text1"/>
          <w:sz w:val="32"/>
          <w:szCs w:val="32"/>
        </w:rPr>
        <w:t>规则</w:t>
      </w:r>
      <w:proofErr w:type="gramStart"/>
      <w:r w:rsidRPr="0096773E">
        <w:rPr>
          <w:rFonts w:ascii="仿宋_GB2312" w:eastAsia="仿宋_GB2312" w:hAnsi="仿宋" w:cs="仿宋_GB2312" w:hint="eastAsia"/>
          <w:b/>
          <w:color w:val="000000" w:themeColor="text1"/>
          <w:sz w:val="32"/>
          <w:szCs w:val="32"/>
        </w:rPr>
        <w:t>一</w:t>
      </w:r>
      <w:proofErr w:type="gramEnd"/>
      <w:r w:rsidRPr="0096773E">
        <w:rPr>
          <w:rFonts w:ascii="仿宋_GB2312" w:eastAsia="仿宋_GB2312" w:hAnsi="仿宋" w:cs="仿宋_GB2312" w:hint="eastAsia"/>
          <w:b/>
          <w:color w:val="000000" w:themeColor="text1"/>
          <w:sz w:val="32"/>
          <w:szCs w:val="32"/>
        </w:rPr>
        <w:t>：</w:t>
      </w:r>
      <w:r w:rsidRPr="0096773E">
        <w:rPr>
          <w:rFonts w:ascii="仿宋_GB2312" w:eastAsia="仿宋_GB2312" w:hAnsi="仿宋" w:cs="仿宋_GB2312" w:hint="eastAsia"/>
          <w:color w:val="000000" w:themeColor="text1"/>
          <w:sz w:val="32"/>
          <w:szCs w:val="32"/>
        </w:rPr>
        <w:t>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原则上统一标准、统一规则、统一</w:t>
      </w:r>
      <w:r w:rsidRPr="0096773E">
        <w:rPr>
          <w:rFonts w:ascii="仿宋_GB2312" w:eastAsia="仿宋_GB2312" w:hAnsi="仿宋" w:cs="仿宋_GB2312" w:hint="eastAsia"/>
          <w:color w:val="000000" w:themeColor="text1"/>
          <w:sz w:val="32"/>
          <w:szCs w:val="32"/>
        </w:rPr>
        <w:t>管理、统一服务；消费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面值、政府补贴和场馆让利所占份额、</w:t>
      </w:r>
      <w:r w:rsidRPr="0096773E">
        <w:rPr>
          <w:rFonts w:ascii="仿宋_GB2312" w:eastAsia="仿宋_GB2312" w:hAnsi="仿宋" w:cs="仿宋_GB2312" w:hint="eastAsia"/>
          <w:color w:val="000000" w:themeColor="text1"/>
          <w:sz w:val="32"/>
          <w:szCs w:val="32"/>
        </w:rPr>
        <w:t>使用规则等由区体育局依据上级政策确定，并根据情况进</w:t>
      </w:r>
      <w:r w:rsidRPr="0096773E">
        <w:rPr>
          <w:rFonts w:ascii="仿宋_GB2312" w:eastAsia="仿宋_GB2312" w:hAnsi="仿宋" w:cs="仿宋_GB2312" w:hint="eastAsia"/>
          <w:color w:val="000000" w:themeColor="text1"/>
          <w:sz w:val="32"/>
          <w:szCs w:val="32"/>
        </w:rPr>
        <w:t>行调整。</w:t>
      </w:r>
    </w:p>
    <w:p w:rsidR="005D5048" w:rsidRPr="0096773E" w:rsidRDefault="00422097" w:rsidP="0096773E">
      <w:pPr>
        <w:spacing w:line="600" w:lineRule="exact"/>
        <w:ind w:firstLineChars="200" w:firstLine="643"/>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b/>
          <w:color w:val="000000" w:themeColor="text1"/>
          <w:sz w:val="32"/>
          <w:szCs w:val="32"/>
        </w:rPr>
        <w:t>规</w:t>
      </w:r>
      <w:r w:rsidRPr="0096773E">
        <w:rPr>
          <w:rFonts w:ascii="仿宋_GB2312" w:eastAsia="仿宋_GB2312" w:hAnsi="仿宋" w:cs="仿宋_GB2312" w:hint="eastAsia"/>
          <w:b/>
          <w:color w:val="000000" w:themeColor="text1"/>
          <w:sz w:val="32"/>
          <w:szCs w:val="32"/>
        </w:rPr>
        <w:t>则</w:t>
      </w:r>
      <w:r w:rsidRPr="0096773E">
        <w:rPr>
          <w:rFonts w:ascii="仿宋_GB2312" w:eastAsia="仿宋_GB2312" w:hAnsi="仿宋" w:cs="仿宋_GB2312" w:hint="eastAsia"/>
          <w:b/>
          <w:color w:val="000000" w:themeColor="text1"/>
          <w:sz w:val="32"/>
          <w:szCs w:val="32"/>
        </w:rPr>
        <w:t>二：</w:t>
      </w:r>
      <w:r w:rsidRPr="0096773E">
        <w:rPr>
          <w:rFonts w:ascii="仿宋_GB2312" w:eastAsia="仿宋_GB2312" w:hAnsi="仿宋" w:cs="仿宋_GB2312" w:hint="eastAsia"/>
          <w:color w:val="000000" w:themeColor="text1"/>
          <w:sz w:val="32"/>
          <w:szCs w:val="32"/>
        </w:rPr>
        <w:t>区体育局发放的区级消费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，限本区定</w:t>
      </w:r>
      <w:r w:rsidRPr="0096773E">
        <w:rPr>
          <w:rFonts w:ascii="仿宋_GB2312" w:eastAsia="仿宋_GB2312" w:hAnsi="仿宋" w:cs="仿宋_GB2312" w:hint="eastAsia"/>
          <w:color w:val="000000" w:themeColor="text1"/>
          <w:sz w:val="32"/>
          <w:szCs w:val="32"/>
        </w:rPr>
        <w:t>点场馆使用。</w:t>
      </w:r>
    </w:p>
    <w:p w:rsidR="005D5048" w:rsidRPr="0096773E" w:rsidRDefault="00422097" w:rsidP="0096773E">
      <w:pPr>
        <w:spacing w:line="600" w:lineRule="exact"/>
        <w:ind w:firstLineChars="200" w:firstLine="643"/>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b/>
          <w:color w:val="000000" w:themeColor="text1"/>
          <w:sz w:val="32"/>
          <w:szCs w:val="32"/>
        </w:rPr>
        <w:t>规则三：</w:t>
      </w:r>
      <w:r w:rsidRPr="0096773E">
        <w:rPr>
          <w:rFonts w:ascii="仿宋_GB2312" w:eastAsia="仿宋_GB2312" w:hAnsi="仿宋" w:cs="仿宋_GB2312" w:hint="eastAsia"/>
          <w:color w:val="000000" w:themeColor="text1"/>
          <w:sz w:val="32"/>
          <w:szCs w:val="32"/>
        </w:rPr>
        <w:t>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有效期为</w:t>
      </w:r>
      <w:r w:rsidRPr="0096773E">
        <w:rPr>
          <w:rFonts w:ascii="仿宋_GB2312" w:eastAsia="仿宋_GB2312" w:hAnsi="仿宋" w:cs="仿宋_GB2312" w:hint="eastAsia"/>
          <w:color w:val="000000" w:themeColor="text1"/>
          <w:sz w:val="32"/>
          <w:szCs w:val="32"/>
        </w:rPr>
        <w:t>7</w:t>
      </w:r>
      <w:r w:rsidRPr="0096773E">
        <w:rPr>
          <w:rFonts w:ascii="仿宋_GB2312" w:eastAsia="仿宋_GB2312" w:hAnsi="仿宋" w:cs="仿宋_GB2312" w:hint="eastAsia"/>
          <w:color w:val="000000" w:themeColor="text1"/>
          <w:sz w:val="32"/>
          <w:szCs w:val="32"/>
        </w:rPr>
        <w:t>天（从用户领取时计算</w:t>
      </w:r>
      <w:r w:rsidRPr="0096773E">
        <w:rPr>
          <w:rFonts w:ascii="仿宋_GB2312" w:eastAsia="仿宋_GB2312" w:hAnsi="仿宋" w:cs="仿宋_GB2312" w:hint="eastAsia"/>
          <w:color w:val="000000" w:themeColor="text1"/>
          <w:sz w:val="32"/>
          <w:szCs w:val="32"/>
        </w:rPr>
        <w:t>有效期），每人每周最多可领取</w:t>
      </w:r>
      <w:r w:rsidRPr="0096773E">
        <w:rPr>
          <w:rFonts w:ascii="仿宋_GB2312" w:eastAsia="仿宋_GB2312" w:hAnsi="仿宋" w:cs="仿宋_GB2312" w:hint="eastAsia"/>
          <w:color w:val="000000" w:themeColor="text1"/>
          <w:sz w:val="32"/>
          <w:szCs w:val="32"/>
        </w:rPr>
        <w:t>3</w:t>
      </w:r>
      <w:r w:rsidRPr="0096773E">
        <w:rPr>
          <w:rFonts w:ascii="仿宋_GB2312" w:eastAsia="仿宋_GB2312" w:hAnsi="仿宋" w:cs="仿宋_GB2312" w:hint="eastAsia"/>
          <w:color w:val="000000" w:themeColor="text1"/>
          <w:sz w:val="32"/>
          <w:szCs w:val="32"/>
        </w:rPr>
        <w:t>张（每人同时最多持有</w:t>
      </w:r>
      <w:r w:rsidRPr="0096773E">
        <w:rPr>
          <w:rFonts w:ascii="仿宋_GB2312" w:eastAsia="仿宋_GB2312" w:hAnsi="仿宋" w:cs="仿宋_GB2312" w:hint="eastAsia"/>
          <w:color w:val="000000" w:themeColor="text1"/>
          <w:sz w:val="32"/>
          <w:szCs w:val="32"/>
        </w:rPr>
        <w:t>3</w:t>
      </w:r>
      <w:r w:rsidRPr="0096773E">
        <w:rPr>
          <w:rFonts w:ascii="仿宋_GB2312" w:eastAsia="仿宋_GB2312" w:hAnsi="仿宋" w:cs="仿宋_GB2312" w:hint="eastAsia"/>
          <w:color w:val="000000" w:themeColor="text1"/>
          <w:sz w:val="32"/>
          <w:szCs w:val="32"/>
        </w:rPr>
        <w:lastRenderedPageBreak/>
        <w:t>张）。</w:t>
      </w:r>
    </w:p>
    <w:p w:rsidR="005D5048" w:rsidRPr="0096773E" w:rsidRDefault="00422097" w:rsidP="0096773E">
      <w:pPr>
        <w:spacing w:line="600" w:lineRule="exact"/>
        <w:ind w:firstLineChars="200" w:firstLine="643"/>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b/>
          <w:color w:val="000000" w:themeColor="text1"/>
          <w:sz w:val="32"/>
          <w:szCs w:val="32"/>
        </w:rPr>
        <w:t>规则四：</w:t>
      </w:r>
      <w:r w:rsidRPr="0096773E">
        <w:rPr>
          <w:rFonts w:ascii="仿宋_GB2312" w:eastAsia="仿宋_GB2312" w:hAnsi="仿宋" w:cs="仿宋_GB2312" w:hint="eastAsia"/>
          <w:color w:val="000000" w:themeColor="text1"/>
          <w:sz w:val="32"/>
          <w:szCs w:val="32"/>
        </w:rPr>
        <w:t>每人每周和每天可使用嘉定体育消费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的数量依据使用总量实时动态调整，具体以配送平台公布为准。</w:t>
      </w:r>
    </w:p>
    <w:p w:rsidR="005D5048" w:rsidRPr="0096773E" w:rsidRDefault="00422097" w:rsidP="0096773E">
      <w:pPr>
        <w:spacing w:line="600" w:lineRule="exact"/>
        <w:ind w:firstLineChars="200" w:firstLine="643"/>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b/>
          <w:color w:val="000000" w:themeColor="text1"/>
          <w:sz w:val="32"/>
          <w:szCs w:val="32"/>
        </w:rPr>
        <w:t>规则五：</w:t>
      </w:r>
      <w:r w:rsidRPr="0096773E">
        <w:rPr>
          <w:rFonts w:ascii="仿宋_GB2312" w:eastAsia="仿宋_GB2312" w:hAnsi="仿宋" w:cs="仿宋_GB2312" w:hint="eastAsia"/>
          <w:color w:val="000000" w:themeColor="text1"/>
          <w:sz w:val="32"/>
          <w:szCs w:val="32"/>
        </w:rPr>
        <w:t>区体育局可以根据市民健身需求，配送仅限特定项目、特定人群使用的嘉定体育消费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，此类专用</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的具体实施细则另行制定。</w:t>
      </w:r>
    </w:p>
    <w:p w:rsidR="005D5048" w:rsidRPr="0096773E" w:rsidRDefault="00422097" w:rsidP="0096773E">
      <w:pPr>
        <w:spacing w:line="600" w:lineRule="exact"/>
        <w:ind w:firstLineChars="200" w:firstLine="640"/>
        <w:jc w:val="left"/>
        <w:rPr>
          <w:rFonts w:ascii="楷体_GB2312" w:eastAsia="楷体_GB2312" w:hAnsi="仿宋" w:cs="仿宋_GB2312"/>
          <w:color w:val="000000" w:themeColor="text1"/>
          <w:sz w:val="32"/>
          <w:szCs w:val="32"/>
        </w:rPr>
      </w:pPr>
      <w:r w:rsidRPr="0096773E">
        <w:rPr>
          <w:rFonts w:ascii="楷体_GB2312" w:eastAsia="楷体_GB2312" w:hAnsi="仿宋" w:cs="仿宋_GB2312" w:hint="eastAsia"/>
          <w:color w:val="000000" w:themeColor="text1"/>
          <w:sz w:val="32"/>
          <w:szCs w:val="32"/>
        </w:rPr>
        <w:t>（四）实施流程</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坚持从定</w:t>
      </w:r>
      <w:r w:rsidRPr="0096773E">
        <w:rPr>
          <w:rFonts w:ascii="仿宋_GB2312" w:eastAsia="仿宋_GB2312" w:hAnsi="仿宋" w:cs="仿宋_GB2312" w:hint="eastAsia"/>
          <w:color w:val="000000" w:themeColor="text1"/>
          <w:sz w:val="32"/>
          <w:szCs w:val="32"/>
        </w:rPr>
        <w:t>点场馆招募到资金补贴，以及“消费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发放</w:t>
      </w:r>
      <w:proofErr w:type="gramStart"/>
      <w:r w:rsidRPr="0096773E">
        <w:rPr>
          <w:rFonts w:ascii="仿宋_GB2312" w:eastAsia="仿宋_GB2312" w:hAnsi="仿宋" w:cs="仿宋_GB2312" w:hint="eastAsia"/>
          <w:color w:val="000000" w:themeColor="text1"/>
          <w:sz w:val="32"/>
          <w:szCs w:val="32"/>
        </w:rPr>
        <w:t>一</w:t>
      </w:r>
      <w:proofErr w:type="gramEnd"/>
      <w:r w:rsidRPr="0096773E">
        <w:rPr>
          <w:rFonts w:ascii="仿宋_GB2312" w:eastAsia="仿宋_GB2312" w:hAnsi="仿宋" w:cs="仿宋_GB2312" w:hint="eastAsia"/>
          <w:color w:val="000000" w:themeColor="text1"/>
          <w:sz w:val="32"/>
          <w:szCs w:val="32"/>
        </w:rPr>
        <w:t>使用</w:t>
      </w:r>
      <w:proofErr w:type="gramStart"/>
      <w:r w:rsidRPr="0096773E">
        <w:rPr>
          <w:rFonts w:ascii="仿宋_GB2312" w:eastAsia="仿宋_GB2312" w:hAnsi="仿宋" w:cs="仿宋_GB2312" w:hint="eastAsia"/>
          <w:color w:val="000000" w:themeColor="text1"/>
          <w:sz w:val="32"/>
          <w:szCs w:val="32"/>
        </w:rPr>
        <w:t>一</w:t>
      </w:r>
      <w:proofErr w:type="gramEnd"/>
      <w:r w:rsidRPr="0096773E">
        <w:rPr>
          <w:rFonts w:ascii="仿宋_GB2312" w:eastAsia="仿宋_GB2312" w:hAnsi="仿宋" w:cs="仿宋_GB2312" w:hint="eastAsia"/>
          <w:color w:val="000000" w:themeColor="text1"/>
          <w:sz w:val="32"/>
          <w:szCs w:val="32"/>
        </w:rPr>
        <w:t>评估</w:t>
      </w:r>
      <w:proofErr w:type="gramStart"/>
      <w:r w:rsidRPr="0096773E">
        <w:rPr>
          <w:rFonts w:ascii="仿宋_GB2312" w:eastAsia="仿宋_GB2312" w:hAnsi="仿宋" w:cs="仿宋_GB2312" w:hint="eastAsia"/>
          <w:color w:val="000000" w:themeColor="text1"/>
          <w:sz w:val="32"/>
          <w:szCs w:val="32"/>
        </w:rPr>
        <w:t>一</w:t>
      </w:r>
      <w:proofErr w:type="gramEnd"/>
      <w:r w:rsidRPr="0096773E">
        <w:rPr>
          <w:rFonts w:ascii="仿宋_GB2312" w:eastAsia="仿宋_GB2312" w:hAnsi="仿宋" w:cs="仿宋_GB2312" w:hint="eastAsia"/>
          <w:color w:val="000000" w:themeColor="text1"/>
          <w:sz w:val="32"/>
          <w:szCs w:val="32"/>
        </w:rPr>
        <w:t>优化”全过程闭环式管理。主要包括以下四个环节：</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1.</w:t>
      </w:r>
      <w:r w:rsidRPr="0096773E">
        <w:rPr>
          <w:rFonts w:ascii="仿宋_GB2312" w:eastAsia="仿宋_GB2312" w:hAnsi="仿宋" w:cs="仿宋_GB2312" w:hint="eastAsia"/>
          <w:color w:val="000000" w:themeColor="text1"/>
          <w:sz w:val="32"/>
          <w:szCs w:val="32"/>
        </w:rPr>
        <w:t>定点场馆招募：</w:t>
      </w:r>
      <w:r w:rsidRPr="0096773E">
        <w:rPr>
          <w:rFonts w:ascii="仿宋_GB2312" w:eastAsia="仿宋_GB2312" w:hAnsi="仿宋" w:cs="仿宋_GB2312" w:hint="eastAsia"/>
          <w:color w:val="000000" w:themeColor="text1"/>
          <w:sz w:val="32"/>
          <w:szCs w:val="32"/>
        </w:rPr>
        <w:t>区体育局发布嘉定体育消费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定点场馆招募公告；嘉定区范围内符合条件的公共体育场馆和经营性体育场馆可向所属街镇自荐，经街镇文体中心审核后报区体育局审定，与区体育局及配送平台（运营机构）签订三方合作协议；</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2.</w:t>
      </w:r>
      <w:r w:rsidRPr="0096773E">
        <w:rPr>
          <w:rFonts w:ascii="仿宋_GB2312" w:eastAsia="仿宋_GB2312" w:hAnsi="仿宋" w:cs="仿宋_GB2312" w:hint="eastAsia"/>
          <w:color w:val="000000" w:themeColor="text1"/>
          <w:sz w:val="32"/>
          <w:szCs w:val="32"/>
        </w:rPr>
        <w:t>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发放：</w:t>
      </w:r>
      <w:r w:rsidRPr="0096773E">
        <w:rPr>
          <w:rFonts w:ascii="仿宋_GB2312" w:eastAsia="仿宋_GB2312" w:hAnsi="仿宋" w:cs="仿宋_GB2312" w:hint="eastAsia"/>
          <w:color w:val="000000" w:themeColor="text1"/>
          <w:sz w:val="32"/>
          <w:szCs w:val="32"/>
        </w:rPr>
        <w:t>区体育局落实消费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发放的经费，通过配送平台（运营机构）将嘉定体育消费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进行发放，广泛宣传，引导市民在指定时间至“嘉定体育”</w:t>
      </w:r>
      <w:proofErr w:type="gramStart"/>
      <w:r w:rsidRPr="0096773E">
        <w:rPr>
          <w:rFonts w:ascii="仿宋_GB2312" w:eastAsia="仿宋_GB2312" w:hAnsi="仿宋" w:cs="仿宋_GB2312" w:hint="eastAsia"/>
          <w:color w:val="000000" w:themeColor="text1"/>
          <w:sz w:val="32"/>
          <w:szCs w:val="32"/>
        </w:rPr>
        <w:t>微信公众号</w:t>
      </w:r>
      <w:proofErr w:type="gramEnd"/>
      <w:r w:rsidRPr="0096773E">
        <w:rPr>
          <w:rFonts w:ascii="仿宋_GB2312" w:eastAsia="仿宋_GB2312" w:hAnsi="仿宋" w:cs="仿宋_GB2312" w:hint="eastAsia"/>
          <w:color w:val="000000" w:themeColor="text1"/>
          <w:sz w:val="32"/>
          <w:szCs w:val="32"/>
        </w:rPr>
        <w:t>、嘉定体育消费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配送</w:t>
      </w:r>
      <w:proofErr w:type="gramStart"/>
      <w:r w:rsidRPr="0096773E">
        <w:rPr>
          <w:rFonts w:ascii="仿宋_GB2312" w:eastAsia="仿宋_GB2312" w:hAnsi="仿宋" w:cs="仿宋_GB2312" w:hint="eastAsia"/>
          <w:color w:val="000000" w:themeColor="text1"/>
          <w:sz w:val="32"/>
          <w:szCs w:val="32"/>
        </w:rPr>
        <w:t>指定微信小</w:t>
      </w:r>
      <w:proofErr w:type="gramEnd"/>
      <w:r w:rsidRPr="0096773E">
        <w:rPr>
          <w:rFonts w:ascii="仿宋_GB2312" w:eastAsia="仿宋_GB2312" w:hAnsi="仿宋" w:cs="仿宋_GB2312" w:hint="eastAsia"/>
          <w:color w:val="000000" w:themeColor="text1"/>
          <w:sz w:val="32"/>
          <w:szCs w:val="32"/>
        </w:rPr>
        <w:t>程序等渠道领取消费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3.</w:t>
      </w:r>
      <w:r w:rsidRPr="0096773E">
        <w:rPr>
          <w:rFonts w:ascii="仿宋_GB2312" w:eastAsia="仿宋_GB2312" w:hAnsi="仿宋" w:cs="仿宋_GB2312" w:hint="eastAsia"/>
          <w:color w:val="000000" w:themeColor="text1"/>
          <w:sz w:val="32"/>
          <w:szCs w:val="32"/>
        </w:rPr>
        <w:t>定点场馆补贴：</w:t>
      </w:r>
      <w:r w:rsidRPr="0096773E">
        <w:rPr>
          <w:rFonts w:ascii="仿宋_GB2312" w:eastAsia="仿宋_GB2312" w:hAnsi="仿宋" w:cs="仿宋_GB2312" w:hint="eastAsia"/>
          <w:color w:val="000000" w:themeColor="text1"/>
          <w:sz w:val="32"/>
          <w:szCs w:val="32"/>
        </w:rPr>
        <w:t>配送平台（运营机构）定期向区体育局提供嘉定体育消费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在定点场馆使用情况的报表，区体育局根据报表核定和拨付定点场馆相应的补贴资金；</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4.</w:t>
      </w:r>
      <w:r w:rsidRPr="0096773E">
        <w:rPr>
          <w:rFonts w:ascii="仿宋_GB2312" w:eastAsia="仿宋_GB2312" w:hAnsi="仿宋" w:cs="仿宋_GB2312" w:hint="eastAsia"/>
          <w:color w:val="000000" w:themeColor="text1"/>
          <w:sz w:val="32"/>
          <w:szCs w:val="32"/>
        </w:rPr>
        <w:t>数据分析评估：</w:t>
      </w:r>
      <w:r w:rsidRPr="0096773E">
        <w:rPr>
          <w:rFonts w:ascii="仿宋_GB2312" w:eastAsia="仿宋_GB2312" w:hAnsi="仿宋" w:cs="仿宋_GB2312" w:hint="eastAsia"/>
          <w:color w:val="000000" w:themeColor="text1"/>
          <w:sz w:val="32"/>
          <w:szCs w:val="32"/>
        </w:rPr>
        <w:t>配送平台（运营机构）通过大数据分析评估，定期向区体育局报告消费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配送和使用情况，不断优化消费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配送细则，平衡消费需求，提高资金使用效率。</w:t>
      </w:r>
    </w:p>
    <w:p w:rsidR="005D5048" w:rsidRPr="0096773E" w:rsidRDefault="00422097" w:rsidP="0096773E">
      <w:pPr>
        <w:spacing w:line="600" w:lineRule="exact"/>
        <w:ind w:firstLineChars="200" w:firstLine="640"/>
        <w:jc w:val="left"/>
        <w:rPr>
          <w:rFonts w:ascii="楷体_GB2312" w:eastAsia="楷体_GB2312" w:hAnsi="仿宋" w:cs="仿宋_GB2312"/>
          <w:color w:val="000000" w:themeColor="text1"/>
          <w:sz w:val="32"/>
          <w:szCs w:val="32"/>
        </w:rPr>
      </w:pPr>
      <w:r w:rsidRPr="0096773E">
        <w:rPr>
          <w:rFonts w:ascii="楷体_GB2312" w:eastAsia="楷体_GB2312" w:hAnsi="仿宋" w:cs="仿宋_GB2312" w:hint="eastAsia"/>
          <w:color w:val="000000" w:themeColor="text1"/>
          <w:sz w:val="32"/>
          <w:szCs w:val="32"/>
        </w:rPr>
        <w:lastRenderedPageBreak/>
        <w:t>（五）财务结算流程</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区</w:t>
      </w:r>
      <w:r w:rsidRPr="0096773E">
        <w:rPr>
          <w:rFonts w:ascii="仿宋_GB2312" w:eastAsia="仿宋_GB2312" w:hAnsi="仿宋" w:cs="仿宋_GB2312" w:hint="eastAsia"/>
          <w:color w:val="000000" w:themeColor="text1"/>
          <w:sz w:val="32"/>
          <w:szCs w:val="32"/>
        </w:rPr>
        <w:t>体育局对定点场馆的补贴，由配送平台（运营机构）提供消费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使用情况报表，再由区体育局审核确认后拨付到定点场馆；于本月底前结算上月的补贴金额。</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市民在消费时扣除嘉定体育消费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金额后实际支付的金额，在市民实际支付后直接进入定点场馆的账户（扣除相关手续费）。</w:t>
      </w:r>
    </w:p>
    <w:p w:rsidR="005D5048" w:rsidRPr="0096773E" w:rsidRDefault="00422097" w:rsidP="0096773E">
      <w:pPr>
        <w:spacing w:line="600" w:lineRule="exact"/>
        <w:ind w:firstLineChars="200" w:firstLine="640"/>
        <w:jc w:val="left"/>
        <w:rPr>
          <w:rFonts w:ascii="楷体_GB2312" w:eastAsia="楷体_GB2312" w:hAnsi="仿宋" w:cs="仿宋_GB2312"/>
          <w:color w:val="000000" w:themeColor="text1"/>
          <w:sz w:val="32"/>
          <w:szCs w:val="32"/>
        </w:rPr>
      </w:pPr>
      <w:r w:rsidRPr="0096773E">
        <w:rPr>
          <w:rFonts w:ascii="楷体_GB2312" w:eastAsia="楷体_GB2312" w:hAnsi="仿宋" w:cs="仿宋_GB2312" w:hint="eastAsia"/>
          <w:color w:val="000000" w:themeColor="text1"/>
          <w:sz w:val="32"/>
          <w:szCs w:val="32"/>
        </w:rPr>
        <w:t>（六）定点场馆监督巡查</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color w:val="000000" w:themeColor="text1"/>
          <w:sz w:val="32"/>
          <w:szCs w:val="32"/>
        </w:rPr>
        <w:t>区体育</w:t>
      </w:r>
      <w:r w:rsidRPr="0096773E">
        <w:rPr>
          <w:rFonts w:ascii="仿宋_GB2312" w:eastAsia="仿宋_GB2312" w:hAnsi="仿宋" w:cs="仿宋_GB2312" w:hint="eastAsia"/>
          <w:color w:val="000000" w:themeColor="text1"/>
          <w:sz w:val="32"/>
          <w:szCs w:val="32"/>
        </w:rPr>
        <w:t>局</w:t>
      </w:r>
      <w:r w:rsidRPr="0096773E">
        <w:rPr>
          <w:rFonts w:ascii="仿宋_GB2312" w:eastAsia="仿宋_GB2312" w:hAnsi="仿宋" w:cs="仿宋_GB2312"/>
          <w:color w:val="000000" w:themeColor="text1"/>
          <w:sz w:val="32"/>
          <w:szCs w:val="32"/>
        </w:rPr>
        <w:t>负责组织开展对区域内定点场馆的培训、指导、管理和服务</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对定点场馆有关健身环境、教练、项目、价格、服务、防疫等进行不定期</w:t>
      </w:r>
      <w:r w:rsidRPr="0096773E">
        <w:rPr>
          <w:rFonts w:ascii="仿宋_GB2312" w:eastAsia="仿宋_GB2312" w:hAnsi="仿宋" w:cs="仿宋_GB2312" w:hint="eastAsia"/>
          <w:color w:val="000000" w:themeColor="text1"/>
          <w:sz w:val="32"/>
          <w:szCs w:val="32"/>
        </w:rPr>
        <w:t>行业</w:t>
      </w:r>
      <w:r w:rsidRPr="0096773E">
        <w:rPr>
          <w:rFonts w:ascii="仿宋_GB2312" w:eastAsia="仿宋_GB2312" w:hAnsi="仿宋" w:cs="仿宋_GB2312"/>
          <w:color w:val="000000" w:themeColor="text1"/>
          <w:sz w:val="32"/>
          <w:szCs w:val="32"/>
        </w:rPr>
        <w:t>监督检查</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并对不符合要求的部分提出整改意见。</w:t>
      </w:r>
    </w:p>
    <w:p w:rsidR="005D5048" w:rsidRPr="0096773E" w:rsidRDefault="00422097" w:rsidP="0096773E">
      <w:pPr>
        <w:spacing w:line="600" w:lineRule="exact"/>
        <w:ind w:firstLineChars="200" w:firstLine="640"/>
        <w:jc w:val="left"/>
        <w:rPr>
          <w:rFonts w:ascii="楷体_GB2312" w:eastAsia="楷体_GB2312" w:hAnsi="仿宋" w:cs="仿宋_GB2312"/>
          <w:color w:val="000000" w:themeColor="text1"/>
          <w:sz w:val="32"/>
          <w:szCs w:val="32"/>
        </w:rPr>
      </w:pPr>
      <w:r w:rsidRPr="0096773E">
        <w:rPr>
          <w:rFonts w:ascii="楷体_GB2312" w:eastAsia="楷体_GB2312" w:hAnsi="仿宋" w:cs="仿宋_GB2312" w:hint="eastAsia"/>
          <w:color w:val="000000" w:themeColor="text1"/>
          <w:sz w:val="32"/>
          <w:szCs w:val="32"/>
        </w:rPr>
        <w:t>（七）定点场馆预警机制</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color w:val="000000" w:themeColor="text1"/>
          <w:sz w:val="32"/>
          <w:szCs w:val="32"/>
        </w:rPr>
        <w:t>定点场馆每天用</w:t>
      </w:r>
      <w:proofErr w:type="gramStart"/>
      <w:r w:rsidRPr="0096773E">
        <w:rPr>
          <w:rFonts w:ascii="仿宋_GB2312" w:eastAsia="仿宋_GB2312" w:hAnsi="仿宋" w:cs="仿宋_GB2312"/>
          <w:color w:val="000000" w:themeColor="text1"/>
          <w:sz w:val="32"/>
          <w:szCs w:val="32"/>
        </w:rPr>
        <w:t>券</w:t>
      </w:r>
      <w:proofErr w:type="gramEnd"/>
      <w:r w:rsidRPr="0096773E">
        <w:rPr>
          <w:rFonts w:ascii="仿宋_GB2312" w:eastAsia="仿宋_GB2312" w:hAnsi="仿宋" w:cs="仿宋_GB2312"/>
          <w:color w:val="000000" w:themeColor="text1"/>
          <w:sz w:val="32"/>
          <w:szCs w:val="32"/>
        </w:rPr>
        <w:t>量超过设定的警戒线或者发生其他异常情况</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配送平台</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运营机构</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应及时将该场馆纳入预警名单</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向区体育</w:t>
      </w:r>
      <w:r w:rsidRPr="0096773E">
        <w:rPr>
          <w:rFonts w:ascii="仿宋_GB2312" w:eastAsia="仿宋_GB2312" w:hAnsi="仿宋" w:cs="仿宋_GB2312" w:hint="eastAsia"/>
          <w:color w:val="000000" w:themeColor="text1"/>
          <w:sz w:val="32"/>
          <w:szCs w:val="32"/>
        </w:rPr>
        <w:t>局</w:t>
      </w:r>
      <w:r w:rsidRPr="0096773E">
        <w:rPr>
          <w:rFonts w:ascii="仿宋_GB2312" w:eastAsia="仿宋_GB2312" w:hAnsi="仿宋" w:cs="仿宋_GB2312"/>
          <w:color w:val="000000" w:themeColor="text1"/>
          <w:sz w:val="32"/>
          <w:szCs w:val="32"/>
        </w:rPr>
        <w:t>报告</w:t>
      </w:r>
      <w:r w:rsidRPr="0096773E">
        <w:rPr>
          <w:rFonts w:ascii="仿宋_GB2312" w:eastAsia="仿宋_GB2312" w:hAnsi="仿宋" w:cs="仿宋_GB2312" w:hint="eastAsia"/>
          <w:color w:val="000000" w:themeColor="text1"/>
          <w:sz w:val="32"/>
          <w:szCs w:val="32"/>
        </w:rPr>
        <w:t>，</w:t>
      </w:r>
      <w:r w:rsidRPr="0096773E">
        <w:rPr>
          <w:rFonts w:ascii="仿宋_GB2312" w:eastAsia="仿宋_GB2312" w:hAnsi="仿宋" w:cs="仿宋_GB2312"/>
          <w:color w:val="000000" w:themeColor="text1"/>
          <w:sz w:val="32"/>
          <w:szCs w:val="32"/>
        </w:rPr>
        <w:t>由区体育</w:t>
      </w:r>
      <w:r w:rsidRPr="0096773E">
        <w:rPr>
          <w:rFonts w:ascii="仿宋_GB2312" w:eastAsia="仿宋_GB2312" w:hAnsi="仿宋" w:cs="仿宋_GB2312" w:hint="eastAsia"/>
          <w:color w:val="000000" w:themeColor="text1"/>
          <w:sz w:val="32"/>
          <w:szCs w:val="32"/>
        </w:rPr>
        <w:t>局</w:t>
      </w:r>
      <w:r w:rsidRPr="0096773E">
        <w:rPr>
          <w:rFonts w:ascii="仿宋_GB2312" w:eastAsia="仿宋_GB2312" w:hAnsi="仿宋" w:cs="仿宋_GB2312"/>
          <w:color w:val="000000" w:themeColor="text1"/>
          <w:sz w:val="32"/>
          <w:szCs w:val="32"/>
        </w:rPr>
        <w:t>核实情况处理。</w:t>
      </w:r>
    </w:p>
    <w:p w:rsidR="005D5048" w:rsidRPr="0096773E" w:rsidRDefault="00422097" w:rsidP="0096773E">
      <w:pPr>
        <w:spacing w:line="600" w:lineRule="exact"/>
        <w:ind w:firstLineChars="200" w:firstLine="640"/>
        <w:jc w:val="left"/>
        <w:rPr>
          <w:rFonts w:ascii="楷体_GB2312" w:eastAsia="楷体_GB2312" w:hAnsi="仿宋" w:cs="仿宋_GB2312"/>
          <w:color w:val="000000" w:themeColor="text1"/>
          <w:sz w:val="32"/>
          <w:szCs w:val="32"/>
        </w:rPr>
      </w:pPr>
      <w:r w:rsidRPr="0096773E">
        <w:rPr>
          <w:rFonts w:ascii="楷体_GB2312" w:eastAsia="楷体_GB2312" w:hAnsi="仿宋" w:cs="仿宋_GB2312" w:hint="eastAsia"/>
          <w:color w:val="000000" w:themeColor="text1"/>
          <w:sz w:val="32"/>
          <w:szCs w:val="32"/>
        </w:rPr>
        <w:t>（八）效益评估</w:t>
      </w:r>
    </w:p>
    <w:p w:rsidR="005D5048" w:rsidRPr="0096773E" w:rsidRDefault="00422097" w:rsidP="0096773E">
      <w:pPr>
        <w:spacing w:line="600" w:lineRule="exact"/>
        <w:ind w:firstLineChars="200" w:firstLine="640"/>
        <w:jc w:val="left"/>
        <w:rPr>
          <w:rFonts w:ascii="仿宋_GB2312" w:eastAsia="仿宋_GB2312" w:hAnsi="仿宋" w:cs="仿宋_GB2312"/>
          <w:color w:val="000000" w:themeColor="text1"/>
          <w:sz w:val="32"/>
          <w:szCs w:val="32"/>
        </w:rPr>
      </w:pPr>
      <w:r w:rsidRPr="0096773E">
        <w:rPr>
          <w:rFonts w:ascii="仿宋_GB2312" w:eastAsia="仿宋_GB2312" w:hAnsi="仿宋" w:cs="仿宋_GB2312" w:hint="eastAsia"/>
          <w:color w:val="000000" w:themeColor="text1"/>
          <w:sz w:val="32"/>
          <w:szCs w:val="32"/>
        </w:rPr>
        <w:t>区体育局委托配送平台（运营机构）或者专业科研机构，开展嘉定体育消费</w:t>
      </w:r>
      <w:proofErr w:type="gramStart"/>
      <w:r w:rsidRPr="0096773E">
        <w:rPr>
          <w:rFonts w:ascii="仿宋_GB2312" w:eastAsia="仿宋_GB2312" w:hAnsi="仿宋" w:cs="仿宋_GB2312" w:hint="eastAsia"/>
          <w:color w:val="000000" w:themeColor="text1"/>
          <w:sz w:val="32"/>
          <w:szCs w:val="32"/>
        </w:rPr>
        <w:t>券</w:t>
      </w:r>
      <w:proofErr w:type="gramEnd"/>
      <w:r w:rsidRPr="0096773E">
        <w:rPr>
          <w:rFonts w:ascii="仿宋_GB2312" w:eastAsia="仿宋_GB2312" w:hAnsi="仿宋" w:cs="仿宋_GB2312" w:hint="eastAsia"/>
          <w:color w:val="000000" w:themeColor="text1"/>
          <w:sz w:val="32"/>
          <w:szCs w:val="32"/>
        </w:rPr>
        <w:t>促进全民健身、体育产业和体育消费相关调查研究，科学评估直接和间接的经济社会效益。</w:t>
      </w:r>
    </w:p>
    <w:p w:rsidR="005D5048" w:rsidRPr="0096773E" w:rsidRDefault="005D5048" w:rsidP="0096773E">
      <w:pPr>
        <w:spacing w:line="600" w:lineRule="exact"/>
        <w:ind w:firstLineChars="200" w:firstLine="640"/>
        <w:jc w:val="left"/>
        <w:rPr>
          <w:rFonts w:ascii="仿宋_GB2312" w:eastAsia="仿宋_GB2312" w:hAnsi="仿宋" w:cs="仿宋_GB2312"/>
          <w:color w:val="000000" w:themeColor="text1"/>
          <w:sz w:val="32"/>
          <w:szCs w:val="32"/>
        </w:rPr>
      </w:pPr>
    </w:p>
    <w:p w:rsidR="005D5048" w:rsidRPr="0096773E" w:rsidRDefault="005D5048" w:rsidP="0096773E">
      <w:pPr>
        <w:spacing w:line="600" w:lineRule="exact"/>
        <w:ind w:firstLineChars="200" w:firstLine="640"/>
        <w:jc w:val="left"/>
        <w:rPr>
          <w:rFonts w:ascii="仿宋_GB2312" w:eastAsia="仿宋_GB2312" w:hAnsi="仿宋" w:cs="仿宋_GB2312"/>
          <w:color w:val="000000" w:themeColor="text1"/>
          <w:sz w:val="32"/>
          <w:szCs w:val="32"/>
        </w:rPr>
      </w:pPr>
    </w:p>
    <w:sectPr w:rsidR="005D5048" w:rsidRPr="0096773E" w:rsidSect="0096773E">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97" w:rsidRDefault="00422097">
      <w:r>
        <w:separator/>
      </w:r>
    </w:p>
  </w:endnote>
  <w:endnote w:type="continuationSeparator" w:id="0">
    <w:p w:rsidR="00422097" w:rsidRDefault="0042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宋体"/>
    <w:charset w:val="86"/>
    <w:family w:val="auto"/>
    <w:pitch w:val="default"/>
    <w:sig w:usb0="00000000" w:usb1="00000000" w:usb2="00000016" w:usb3="00000000" w:csb0="0004000F" w:csb1="00000000"/>
  </w:font>
  <w:font w:name="Calibri Light">
    <w:altName w:val="Arial Unicode MS"/>
    <w:charset w:val="00"/>
    <w:family w:val="swiss"/>
    <w:pitch w:val="default"/>
    <w:sig w:usb0="00000001" w:usb1="4000207B" w:usb2="00000000" w:usb3="00000000" w:csb0="2000019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01385"/>
      <w:docPartObj>
        <w:docPartGallery w:val="AutoText"/>
      </w:docPartObj>
    </w:sdtPr>
    <w:sdtEndPr/>
    <w:sdtContent>
      <w:p w:rsidR="005D5048" w:rsidRDefault="00422097">
        <w:pPr>
          <w:pStyle w:val="a4"/>
          <w:jc w:val="center"/>
        </w:pPr>
        <w:r>
          <w:fldChar w:fldCharType="begin"/>
        </w:r>
        <w:r>
          <w:instrText>PAGE   \* MERGEFORMAT</w:instrText>
        </w:r>
        <w:r>
          <w:fldChar w:fldCharType="separate"/>
        </w:r>
        <w:r w:rsidR="0096773E" w:rsidRPr="0096773E">
          <w:rPr>
            <w:noProof/>
            <w:lang w:val="zh-CN"/>
          </w:rPr>
          <w:t>5</w:t>
        </w:r>
        <w:r>
          <w:fldChar w:fldCharType="end"/>
        </w:r>
      </w:p>
    </w:sdtContent>
  </w:sdt>
  <w:p w:rsidR="005D5048" w:rsidRDefault="005D50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97" w:rsidRDefault="00422097">
      <w:r>
        <w:separator/>
      </w:r>
    </w:p>
  </w:footnote>
  <w:footnote w:type="continuationSeparator" w:id="0">
    <w:p w:rsidR="00422097" w:rsidRDefault="00422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YThkMGIxNTQ1YjNjMTM3NDllMzdjNzhhNDNkN2MifQ=="/>
  </w:docVars>
  <w:rsids>
    <w:rsidRoot w:val="6A4169F1"/>
    <w:rsid w:val="0000671E"/>
    <w:rsid w:val="00036E47"/>
    <w:rsid w:val="00036F6F"/>
    <w:rsid w:val="00064BDB"/>
    <w:rsid w:val="000662E2"/>
    <w:rsid w:val="00086BE5"/>
    <w:rsid w:val="000C1F2F"/>
    <w:rsid w:val="000C22DA"/>
    <w:rsid w:val="000C371F"/>
    <w:rsid w:val="000F5E88"/>
    <w:rsid w:val="001027F8"/>
    <w:rsid w:val="001268DA"/>
    <w:rsid w:val="001316A1"/>
    <w:rsid w:val="00162926"/>
    <w:rsid w:val="001841E1"/>
    <w:rsid w:val="001A709C"/>
    <w:rsid w:val="001B51BD"/>
    <w:rsid w:val="001E1BCE"/>
    <w:rsid w:val="00220212"/>
    <w:rsid w:val="00244F2A"/>
    <w:rsid w:val="002451D2"/>
    <w:rsid w:val="00254CA7"/>
    <w:rsid w:val="00263AEC"/>
    <w:rsid w:val="00286EBE"/>
    <w:rsid w:val="00293B1A"/>
    <w:rsid w:val="002B0AA0"/>
    <w:rsid w:val="002B0FFF"/>
    <w:rsid w:val="002B4B44"/>
    <w:rsid w:val="002F75E6"/>
    <w:rsid w:val="003356E2"/>
    <w:rsid w:val="003757E5"/>
    <w:rsid w:val="0037612A"/>
    <w:rsid w:val="0038500E"/>
    <w:rsid w:val="00385135"/>
    <w:rsid w:val="00385DF8"/>
    <w:rsid w:val="00386FDB"/>
    <w:rsid w:val="003B0C2B"/>
    <w:rsid w:val="003B0E89"/>
    <w:rsid w:val="003C23CE"/>
    <w:rsid w:val="003C49CB"/>
    <w:rsid w:val="003C6430"/>
    <w:rsid w:val="003D210A"/>
    <w:rsid w:val="00421DE5"/>
    <w:rsid w:val="00422097"/>
    <w:rsid w:val="004373BA"/>
    <w:rsid w:val="004502B6"/>
    <w:rsid w:val="0046299D"/>
    <w:rsid w:val="00463F6C"/>
    <w:rsid w:val="004A3D08"/>
    <w:rsid w:val="004B4DAB"/>
    <w:rsid w:val="004B6D05"/>
    <w:rsid w:val="004C1290"/>
    <w:rsid w:val="004C4F82"/>
    <w:rsid w:val="004C5E0A"/>
    <w:rsid w:val="004F6E22"/>
    <w:rsid w:val="0050475F"/>
    <w:rsid w:val="005332C4"/>
    <w:rsid w:val="00535E40"/>
    <w:rsid w:val="005D5048"/>
    <w:rsid w:val="005D5D83"/>
    <w:rsid w:val="005F03FB"/>
    <w:rsid w:val="005F3E6D"/>
    <w:rsid w:val="00623E10"/>
    <w:rsid w:val="0062692E"/>
    <w:rsid w:val="00627AE9"/>
    <w:rsid w:val="00631911"/>
    <w:rsid w:val="006450F4"/>
    <w:rsid w:val="00651BF6"/>
    <w:rsid w:val="006621B4"/>
    <w:rsid w:val="00670331"/>
    <w:rsid w:val="00677437"/>
    <w:rsid w:val="00690D40"/>
    <w:rsid w:val="006A5C33"/>
    <w:rsid w:val="006E1A2A"/>
    <w:rsid w:val="006E5F69"/>
    <w:rsid w:val="00705A97"/>
    <w:rsid w:val="00723D4C"/>
    <w:rsid w:val="00724733"/>
    <w:rsid w:val="00753E06"/>
    <w:rsid w:val="0076226E"/>
    <w:rsid w:val="007669BC"/>
    <w:rsid w:val="0078617E"/>
    <w:rsid w:val="00787BEB"/>
    <w:rsid w:val="007A1417"/>
    <w:rsid w:val="007A6191"/>
    <w:rsid w:val="007B030E"/>
    <w:rsid w:val="007B3F12"/>
    <w:rsid w:val="007B44C4"/>
    <w:rsid w:val="007B6223"/>
    <w:rsid w:val="007E0604"/>
    <w:rsid w:val="008254E1"/>
    <w:rsid w:val="00832D1A"/>
    <w:rsid w:val="00864D1B"/>
    <w:rsid w:val="0089215A"/>
    <w:rsid w:val="0091313F"/>
    <w:rsid w:val="00935C33"/>
    <w:rsid w:val="00940ADF"/>
    <w:rsid w:val="0095508A"/>
    <w:rsid w:val="0096773E"/>
    <w:rsid w:val="009900B6"/>
    <w:rsid w:val="00992E1A"/>
    <w:rsid w:val="0099564A"/>
    <w:rsid w:val="009A2E6D"/>
    <w:rsid w:val="009D6645"/>
    <w:rsid w:val="009E6DF5"/>
    <w:rsid w:val="00A14968"/>
    <w:rsid w:val="00A45596"/>
    <w:rsid w:val="00A52714"/>
    <w:rsid w:val="00A643C4"/>
    <w:rsid w:val="00A75697"/>
    <w:rsid w:val="00A761B1"/>
    <w:rsid w:val="00A84C07"/>
    <w:rsid w:val="00A95A9A"/>
    <w:rsid w:val="00AB2C98"/>
    <w:rsid w:val="00AD6486"/>
    <w:rsid w:val="00AE155F"/>
    <w:rsid w:val="00B011AD"/>
    <w:rsid w:val="00B030CB"/>
    <w:rsid w:val="00B240DC"/>
    <w:rsid w:val="00B25B71"/>
    <w:rsid w:val="00B62374"/>
    <w:rsid w:val="00B9728E"/>
    <w:rsid w:val="00B973A3"/>
    <w:rsid w:val="00BA64F1"/>
    <w:rsid w:val="00BD2417"/>
    <w:rsid w:val="00C02E70"/>
    <w:rsid w:val="00C06EF0"/>
    <w:rsid w:val="00C122BE"/>
    <w:rsid w:val="00C2719C"/>
    <w:rsid w:val="00CB1DEB"/>
    <w:rsid w:val="00CD7DFD"/>
    <w:rsid w:val="00D15DF0"/>
    <w:rsid w:val="00D4593E"/>
    <w:rsid w:val="00D624F4"/>
    <w:rsid w:val="00D72716"/>
    <w:rsid w:val="00D87208"/>
    <w:rsid w:val="00D914B6"/>
    <w:rsid w:val="00D9788C"/>
    <w:rsid w:val="00DF1BD3"/>
    <w:rsid w:val="00E3267A"/>
    <w:rsid w:val="00E33822"/>
    <w:rsid w:val="00E455BD"/>
    <w:rsid w:val="00E729BA"/>
    <w:rsid w:val="00E90B28"/>
    <w:rsid w:val="00E90E73"/>
    <w:rsid w:val="00EA3F5C"/>
    <w:rsid w:val="00ED3E14"/>
    <w:rsid w:val="00EF3689"/>
    <w:rsid w:val="00F20197"/>
    <w:rsid w:val="00F3154F"/>
    <w:rsid w:val="00F4197B"/>
    <w:rsid w:val="00F57918"/>
    <w:rsid w:val="00FA605E"/>
    <w:rsid w:val="00FC4A6A"/>
    <w:rsid w:val="00FD790E"/>
    <w:rsid w:val="04B35139"/>
    <w:rsid w:val="0BB33886"/>
    <w:rsid w:val="0F76123D"/>
    <w:rsid w:val="11E178D7"/>
    <w:rsid w:val="13785584"/>
    <w:rsid w:val="1B46408B"/>
    <w:rsid w:val="1C827473"/>
    <w:rsid w:val="25075D5E"/>
    <w:rsid w:val="25205A7B"/>
    <w:rsid w:val="2B3836F1"/>
    <w:rsid w:val="2BA163F0"/>
    <w:rsid w:val="40BE641C"/>
    <w:rsid w:val="414A5F02"/>
    <w:rsid w:val="48B9571B"/>
    <w:rsid w:val="48F52BF7"/>
    <w:rsid w:val="52BE405A"/>
    <w:rsid w:val="54772DEC"/>
    <w:rsid w:val="57D96443"/>
    <w:rsid w:val="59A93A45"/>
    <w:rsid w:val="5B0E487E"/>
    <w:rsid w:val="5D107BA8"/>
    <w:rsid w:val="614B11AE"/>
    <w:rsid w:val="624A590A"/>
    <w:rsid w:val="65A25633"/>
    <w:rsid w:val="68A12A5C"/>
    <w:rsid w:val="6A4169F1"/>
    <w:rsid w:val="6DA82745"/>
    <w:rsid w:val="6E8F43E0"/>
    <w:rsid w:val="722E1DAB"/>
    <w:rsid w:val="76867A1D"/>
    <w:rsid w:val="779B11A0"/>
    <w:rsid w:val="779E6067"/>
    <w:rsid w:val="79E306C6"/>
    <w:rsid w:val="7A4D1FE3"/>
    <w:rsid w:val="7D272C9D"/>
    <w:rsid w:val="7F8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uiPriority="11" w:qFormat="1"/>
    <w:lsdException w:name="Body Text First Indent 2" w:uiPriority="99" w:unhideWhenUsed="1"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after="120"/>
      <w:ind w:leftChars="200" w:left="42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0"/>
    <w:uiPriority w:val="11"/>
    <w:qFormat/>
    <w:pPr>
      <w:spacing w:before="240" w:after="60" w:line="312" w:lineRule="auto"/>
      <w:jc w:val="center"/>
      <w:outlineLvl w:val="1"/>
    </w:pPr>
    <w:rPr>
      <w:rFonts w:ascii="等线 Light" w:eastAsia="宋体" w:hAnsi="等线 Light" w:cs="Times New Roman"/>
      <w:b/>
      <w:bCs/>
      <w:kern w:val="28"/>
      <w:sz w:val="32"/>
      <w:szCs w:val="32"/>
    </w:rPr>
  </w:style>
  <w:style w:type="paragraph" w:styleId="a7">
    <w:name w:val="Normal (Web)"/>
    <w:basedOn w:val="a"/>
    <w:uiPriority w:val="99"/>
    <w:qFormat/>
    <w:pPr>
      <w:widowControl/>
      <w:spacing w:beforeAutospacing="1" w:afterAutospacing="1"/>
      <w:jc w:val="left"/>
    </w:pPr>
    <w:rPr>
      <w:rFonts w:ascii="宋体" w:eastAsia="宋体" w:hAnsi="宋体" w:cs="Times New Roman" w:hint="eastAsia"/>
      <w:kern w:val="0"/>
      <w:sz w:val="24"/>
    </w:rPr>
  </w:style>
  <w:style w:type="paragraph" w:styleId="2">
    <w:name w:val="Body Text First Indent 2"/>
    <w:basedOn w:val="a3"/>
    <w:next w:val="a"/>
    <w:link w:val="2Char"/>
    <w:uiPriority w:val="99"/>
    <w:unhideWhenUsed/>
    <w:qFormat/>
    <w:pPr>
      <w:spacing w:after="0"/>
      <w:ind w:leftChars="0" w:left="0" w:firstLineChars="200" w:firstLine="420"/>
    </w:pPr>
    <w:rPr>
      <w:rFonts w:ascii="宋体" w:eastAsia="宋体" w:hAnsi="宋体" w:cs="Times New Roman"/>
      <w:color w:val="000000"/>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Pr>
      <w:b/>
    </w:rPr>
  </w:style>
  <w:style w:type="character" w:styleId="aa">
    <w:name w:val="Emphasis"/>
    <w:basedOn w:val="a0"/>
    <w:uiPriority w:val="20"/>
    <w:qFormat/>
    <w:rPr>
      <w:i/>
      <w:iCs/>
    </w:rPr>
  </w:style>
  <w:style w:type="character" w:styleId="ab">
    <w:name w:val="Hyperlink"/>
    <w:basedOn w:val="a0"/>
    <w:uiPriority w:val="99"/>
    <w:unhideWhenUsed/>
    <w:rPr>
      <w:color w:val="0000FF"/>
      <w:u w:val="single"/>
    </w:rPr>
  </w:style>
  <w:style w:type="paragraph" w:styleId="ac">
    <w:name w:val="List Paragraph"/>
    <w:basedOn w:val="a"/>
    <w:uiPriority w:val="34"/>
    <w:qFormat/>
    <w:pPr>
      <w:ind w:firstLineChars="200" w:firstLine="420"/>
    </w:pPr>
    <w:rPr>
      <w:szCs w:val="22"/>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正文文本缩进 Char"/>
    <w:basedOn w:val="a0"/>
    <w:link w:val="a3"/>
    <w:rPr>
      <w:kern w:val="2"/>
      <w:sz w:val="21"/>
      <w:szCs w:val="24"/>
    </w:rPr>
  </w:style>
  <w:style w:type="character" w:customStyle="1" w:styleId="2Char">
    <w:name w:val="正文首行缩进 2 Char"/>
    <w:basedOn w:val="Char"/>
    <w:link w:val="2"/>
    <w:uiPriority w:val="99"/>
    <w:rPr>
      <w:rFonts w:ascii="宋体" w:eastAsia="宋体" w:hAnsi="宋体" w:cs="Times New Roman"/>
      <w:color w:val="000000"/>
      <w:kern w:val="2"/>
      <w:sz w:val="24"/>
      <w:szCs w:val="24"/>
    </w:rPr>
  </w:style>
  <w:style w:type="character" w:customStyle="1" w:styleId="Char2">
    <w:name w:val="副标题 Char"/>
    <w:basedOn w:val="a0"/>
    <w:rPr>
      <w:rFonts w:asciiTheme="majorHAnsi" w:eastAsia="宋体" w:hAnsiTheme="majorHAnsi" w:cstheme="majorBidi"/>
      <w:b/>
      <w:bCs/>
      <w:kern w:val="28"/>
      <w:sz w:val="32"/>
      <w:szCs w:val="32"/>
    </w:rPr>
  </w:style>
  <w:style w:type="character" w:customStyle="1" w:styleId="Char10">
    <w:name w:val="副标题 Char1"/>
    <w:link w:val="a6"/>
    <w:uiPriority w:val="11"/>
    <w:rPr>
      <w:rFonts w:ascii="等线 Light" w:eastAsia="宋体" w:hAnsi="等线 Light" w:cs="Times New Roman"/>
      <w:b/>
      <w:bCs/>
      <w:kern w:val="28"/>
      <w:sz w:val="32"/>
      <w:szCs w:val="32"/>
    </w:rPr>
  </w:style>
  <w:style w:type="character" w:customStyle="1" w:styleId="NormalCharacter">
    <w:name w:val="NormalCharacter"/>
    <w:qFormat/>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richmediameta">
    <w:name w:val="rich_media_meta"/>
    <w:basedOn w:val="a0"/>
  </w:style>
  <w:style w:type="character" w:customStyle="1" w:styleId="wxtaplink">
    <w:name w:val="wx_tap_link"/>
    <w:basedOn w:val="a0"/>
  </w:style>
  <w:style w:type="paragraph" w:customStyle="1" w:styleId="20">
    <w:name w:val="正文2"/>
    <w:pPr>
      <w:jc w:val="both"/>
    </w:pPr>
    <w:rPr>
      <w:rFonts w:ascii="Calibri" w:hAnsi="Calibri" w:cs="Calibri"/>
      <w:kern w:val="2"/>
      <w:sz w:val="21"/>
      <w:szCs w:val="21"/>
    </w:r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uiPriority="11" w:qFormat="1"/>
    <w:lsdException w:name="Body Text First Indent 2" w:uiPriority="99" w:unhideWhenUsed="1"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after="120"/>
      <w:ind w:leftChars="200" w:left="42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0"/>
    <w:uiPriority w:val="11"/>
    <w:qFormat/>
    <w:pPr>
      <w:spacing w:before="240" w:after="60" w:line="312" w:lineRule="auto"/>
      <w:jc w:val="center"/>
      <w:outlineLvl w:val="1"/>
    </w:pPr>
    <w:rPr>
      <w:rFonts w:ascii="等线 Light" w:eastAsia="宋体" w:hAnsi="等线 Light" w:cs="Times New Roman"/>
      <w:b/>
      <w:bCs/>
      <w:kern w:val="28"/>
      <w:sz w:val="32"/>
      <w:szCs w:val="32"/>
    </w:rPr>
  </w:style>
  <w:style w:type="paragraph" w:styleId="a7">
    <w:name w:val="Normal (Web)"/>
    <w:basedOn w:val="a"/>
    <w:uiPriority w:val="99"/>
    <w:qFormat/>
    <w:pPr>
      <w:widowControl/>
      <w:spacing w:beforeAutospacing="1" w:afterAutospacing="1"/>
      <w:jc w:val="left"/>
    </w:pPr>
    <w:rPr>
      <w:rFonts w:ascii="宋体" w:eastAsia="宋体" w:hAnsi="宋体" w:cs="Times New Roman" w:hint="eastAsia"/>
      <w:kern w:val="0"/>
      <w:sz w:val="24"/>
    </w:rPr>
  </w:style>
  <w:style w:type="paragraph" w:styleId="2">
    <w:name w:val="Body Text First Indent 2"/>
    <w:basedOn w:val="a3"/>
    <w:next w:val="a"/>
    <w:link w:val="2Char"/>
    <w:uiPriority w:val="99"/>
    <w:unhideWhenUsed/>
    <w:qFormat/>
    <w:pPr>
      <w:spacing w:after="0"/>
      <w:ind w:leftChars="0" w:left="0" w:firstLineChars="200" w:firstLine="420"/>
    </w:pPr>
    <w:rPr>
      <w:rFonts w:ascii="宋体" w:eastAsia="宋体" w:hAnsi="宋体" w:cs="Times New Roman"/>
      <w:color w:val="000000"/>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Pr>
      <w:b/>
    </w:rPr>
  </w:style>
  <w:style w:type="character" w:styleId="aa">
    <w:name w:val="Emphasis"/>
    <w:basedOn w:val="a0"/>
    <w:uiPriority w:val="20"/>
    <w:qFormat/>
    <w:rPr>
      <w:i/>
      <w:iCs/>
    </w:rPr>
  </w:style>
  <w:style w:type="character" w:styleId="ab">
    <w:name w:val="Hyperlink"/>
    <w:basedOn w:val="a0"/>
    <w:uiPriority w:val="99"/>
    <w:unhideWhenUsed/>
    <w:rPr>
      <w:color w:val="0000FF"/>
      <w:u w:val="single"/>
    </w:rPr>
  </w:style>
  <w:style w:type="paragraph" w:styleId="ac">
    <w:name w:val="List Paragraph"/>
    <w:basedOn w:val="a"/>
    <w:uiPriority w:val="34"/>
    <w:qFormat/>
    <w:pPr>
      <w:ind w:firstLineChars="200" w:firstLine="420"/>
    </w:pPr>
    <w:rPr>
      <w:szCs w:val="22"/>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正文文本缩进 Char"/>
    <w:basedOn w:val="a0"/>
    <w:link w:val="a3"/>
    <w:rPr>
      <w:kern w:val="2"/>
      <w:sz w:val="21"/>
      <w:szCs w:val="24"/>
    </w:rPr>
  </w:style>
  <w:style w:type="character" w:customStyle="1" w:styleId="2Char">
    <w:name w:val="正文首行缩进 2 Char"/>
    <w:basedOn w:val="Char"/>
    <w:link w:val="2"/>
    <w:uiPriority w:val="99"/>
    <w:rPr>
      <w:rFonts w:ascii="宋体" w:eastAsia="宋体" w:hAnsi="宋体" w:cs="Times New Roman"/>
      <w:color w:val="000000"/>
      <w:kern w:val="2"/>
      <w:sz w:val="24"/>
      <w:szCs w:val="24"/>
    </w:rPr>
  </w:style>
  <w:style w:type="character" w:customStyle="1" w:styleId="Char2">
    <w:name w:val="副标题 Char"/>
    <w:basedOn w:val="a0"/>
    <w:rPr>
      <w:rFonts w:asciiTheme="majorHAnsi" w:eastAsia="宋体" w:hAnsiTheme="majorHAnsi" w:cstheme="majorBidi"/>
      <w:b/>
      <w:bCs/>
      <w:kern w:val="28"/>
      <w:sz w:val="32"/>
      <w:szCs w:val="32"/>
    </w:rPr>
  </w:style>
  <w:style w:type="character" w:customStyle="1" w:styleId="Char10">
    <w:name w:val="副标题 Char1"/>
    <w:link w:val="a6"/>
    <w:uiPriority w:val="11"/>
    <w:rPr>
      <w:rFonts w:ascii="等线 Light" w:eastAsia="宋体" w:hAnsi="等线 Light" w:cs="Times New Roman"/>
      <w:b/>
      <w:bCs/>
      <w:kern w:val="28"/>
      <w:sz w:val="32"/>
      <w:szCs w:val="32"/>
    </w:rPr>
  </w:style>
  <w:style w:type="character" w:customStyle="1" w:styleId="NormalCharacter">
    <w:name w:val="NormalCharacter"/>
    <w:qFormat/>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richmediameta">
    <w:name w:val="rich_media_meta"/>
    <w:basedOn w:val="a0"/>
  </w:style>
  <w:style w:type="character" w:customStyle="1" w:styleId="wxtaplink">
    <w:name w:val="wx_tap_link"/>
    <w:basedOn w:val="a0"/>
  </w:style>
  <w:style w:type="paragraph" w:customStyle="1" w:styleId="20">
    <w:name w:val="正文2"/>
    <w:pPr>
      <w:jc w:val="both"/>
    </w:pPr>
    <w:rPr>
      <w:rFonts w:ascii="Calibri" w:hAnsi="Calibri" w:cs="Calibri"/>
      <w:kern w:val="2"/>
      <w:sz w:val="21"/>
      <w:szCs w:val="21"/>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dc:creator>
  <cp:lastModifiedBy>ntko</cp:lastModifiedBy>
  <cp:revision>48</cp:revision>
  <dcterms:created xsi:type="dcterms:W3CDTF">2022-09-29T13:08:00Z</dcterms:created>
  <dcterms:modified xsi:type="dcterms:W3CDTF">2022-10-16T13:29:00Z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6E592C35276C463B875932C60948A49A</vt:lpwstr>
  </property>
</Properties>
</file>