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eastAsia="仿宋_GB2312"/>
          <w:bCs/>
          <w:sz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eastAsia="仿宋_GB2312"/>
          <w:bCs/>
          <w:sz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eastAsia="仿宋_GB2312"/>
          <w:bCs/>
          <w:sz w:val="32"/>
        </w:rPr>
      </w:pPr>
    </w:p>
    <w:p>
      <w:pPr>
        <w:ind w:firstLine="320" w:firstLineChars="100"/>
        <w:jc w:val="center"/>
        <w:rPr>
          <w:rFonts w:hint="eastAsia" w:eastAsia="仿宋_GB2312"/>
          <w:bCs/>
          <w:sz w:val="32"/>
          <w:szCs w:val="32"/>
          <w:vertAlign w:val="baseline"/>
          <w:lang w:eastAsia="zh-CN"/>
        </w:rPr>
      </w:pPr>
      <w:r>
        <w:rPr>
          <w:rFonts w:hint="eastAsia" w:ascii="仿宋_GB2312" w:hAnsi="仿宋_GB2312" w:eastAsia="仿宋_GB2312" w:cs="仿宋_GB2312"/>
          <w:bCs/>
          <w:sz w:val="32"/>
          <w:szCs w:val="32"/>
        </w:rPr>
        <w:t>嘉国资</w:t>
      </w:r>
      <w:r>
        <w:rPr>
          <w:rFonts w:hint="eastAsia" w:ascii="仿宋_GB2312" w:hAnsi="仿宋_GB2312" w:eastAsia="仿宋_GB2312" w:cs="仿宋_GB2312"/>
          <w:bCs/>
          <w:sz w:val="32"/>
          <w:szCs w:val="32"/>
          <w:lang w:eastAsia="zh-CN"/>
        </w:rPr>
        <w:t>委</w:t>
      </w:r>
      <w:r>
        <w:rPr>
          <w:rFonts w:hint="default" w:ascii="Times New Roman" w:hAnsi="Times New Roman" w:eastAsia="仿宋_GB2312" w:cs="Times New Roman"/>
          <w:bCs/>
          <w:sz w:val="32"/>
          <w:szCs w:val="32"/>
        </w:rPr>
        <w:t>〔202</w:t>
      </w:r>
      <w:r>
        <w:rPr>
          <w:rFonts w:hint="eastAsia" w:eastAsia="仿宋_GB2312" w:cs="Times New Roman"/>
          <w:bCs/>
          <w:sz w:val="32"/>
          <w:szCs w:val="32"/>
          <w:lang w:val="en-US" w:eastAsia="zh-CN"/>
        </w:rPr>
        <w:t>5</w:t>
      </w: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4</w:t>
      </w:r>
      <w:r>
        <w:rPr>
          <w:rFonts w:hint="default" w:ascii="Times New Roman" w:hAnsi="Times New Roman" w:eastAsia="仿宋_GB2312" w:cs="Times New Roman"/>
          <w:bCs/>
          <w:sz w:val="32"/>
          <w:szCs w:val="32"/>
        </w:rPr>
        <w:t>号</w:t>
      </w:r>
    </w:p>
    <w:p>
      <w:pPr>
        <w:spacing w:line="640" w:lineRule="exact"/>
        <w:jc w:val="both"/>
        <w:rPr>
          <w:rFonts w:hint="eastAsia" w:ascii="方正小标宋简体" w:eastAsia="方正小标宋简体"/>
          <w:spacing w:val="-1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小标宋简体" w:eastAsia="方正小标宋简体"/>
          <w:color w:val="000000"/>
          <w:sz w:val="44"/>
          <w:szCs w:val="44"/>
        </w:rPr>
      </w:pPr>
      <w:r>
        <w:rPr>
          <w:rFonts w:hint="eastAsia" w:ascii="方正小标宋简体" w:eastAsia="方正小标宋简体"/>
          <w:color w:val="000000"/>
          <w:sz w:val="44"/>
          <w:szCs w:val="44"/>
        </w:rPr>
        <w:t>关于印发《嘉定区国资委预算绩效管理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小标宋简体" w:eastAsia="方正小标宋简体"/>
          <w:spacing w:val="-10"/>
          <w:sz w:val="44"/>
          <w:szCs w:val="44"/>
        </w:rPr>
      </w:pPr>
      <w:r>
        <w:rPr>
          <w:rFonts w:hint="eastAsia" w:ascii="方正小标宋简体" w:eastAsia="方正小标宋简体"/>
          <w:color w:val="000000"/>
          <w:sz w:val="44"/>
          <w:szCs w:val="44"/>
        </w:rPr>
        <w:t>工作制度》的通知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委机关</w:t>
      </w:r>
      <w:r>
        <w:rPr>
          <w:rFonts w:hint="default" w:ascii="Times New Roman" w:hAnsi="Times New Roman" w:eastAsia="仿宋_GB2312" w:cs="Times New Roman"/>
          <w:sz w:val="32"/>
          <w:szCs w:val="32"/>
        </w:rPr>
        <w:t>各科室</w:t>
      </w:r>
      <w:r>
        <w:rPr>
          <w:rFonts w:hint="default" w:ascii="Times New Roman" w:hAnsi="Times New Roman" w:eastAsia="仿宋_GB2312" w:cs="Times New Roman"/>
          <w:sz w:val="32"/>
          <w:szCs w:val="32"/>
          <w:lang w:eastAsia="zh-CN"/>
        </w:rPr>
        <w:t>、区国有企业改革发展与董监事工作服务中心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加强</w:t>
      </w:r>
      <w:r>
        <w:rPr>
          <w:rFonts w:hint="default" w:ascii="Times New Roman" w:hAnsi="Times New Roman" w:eastAsia="仿宋_GB2312" w:cs="Times New Roman"/>
          <w:sz w:val="32"/>
          <w:szCs w:val="32"/>
        </w:rPr>
        <w:t>落实</w:t>
      </w:r>
      <w:r>
        <w:rPr>
          <w:rFonts w:hint="default" w:ascii="Times New Roman" w:hAnsi="Times New Roman" w:eastAsia="仿宋_GB2312" w:cs="Times New Roman"/>
          <w:color w:val="auto"/>
          <w:kern w:val="0"/>
          <w:sz w:val="32"/>
          <w:szCs w:val="32"/>
          <w:lang w:val="en"/>
        </w:rPr>
        <w:t>《中共上海市嘉定区委 上海市嘉定区人民政府关于我区全面实施预算绩效管理的实施意见》（嘉委发〔2019〕18号）及《上海市嘉定区人民政府办公室关于印发&lt;嘉定区加强成本预算绩效管理的实施方案&gt;的通知》（嘉府办发〔2024〕3号）等有关</w:t>
      </w:r>
      <w:r>
        <w:rPr>
          <w:rFonts w:hint="default" w:ascii="Times New Roman" w:hAnsi="Times New Roman" w:eastAsia="仿宋_GB2312" w:cs="Times New Roman"/>
          <w:color w:val="auto"/>
          <w:kern w:val="0"/>
          <w:sz w:val="32"/>
          <w:szCs w:val="32"/>
          <w:lang w:val="en" w:eastAsia="zh-CN"/>
        </w:rPr>
        <w:t>法律法规和</w:t>
      </w:r>
      <w:r>
        <w:rPr>
          <w:rFonts w:hint="default" w:ascii="Times New Roman" w:hAnsi="Times New Roman" w:eastAsia="仿宋_GB2312" w:cs="Times New Roman"/>
          <w:color w:val="auto"/>
          <w:kern w:val="0"/>
          <w:sz w:val="32"/>
          <w:szCs w:val="32"/>
          <w:lang w:val="en"/>
        </w:rPr>
        <w:t>文件规定</w:t>
      </w:r>
      <w:r>
        <w:rPr>
          <w:rFonts w:hint="default" w:ascii="Times New Roman" w:hAnsi="Times New Roman" w:eastAsia="仿宋_GB2312" w:cs="Times New Roman"/>
          <w:sz w:val="32"/>
          <w:szCs w:val="32"/>
          <w:lang w:eastAsia="zh-CN"/>
        </w:rPr>
        <w:t>，修订了</w:t>
      </w:r>
      <w:r>
        <w:rPr>
          <w:rFonts w:hint="default" w:ascii="Times New Roman" w:hAnsi="Times New Roman" w:eastAsia="仿宋_GB2312" w:cs="Times New Roman"/>
          <w:sz w:val="32"/>
          <w:szCs w:val="32"/>
        </w:rPr>
        <w:t>《嘉定区国资委预算绩效管理工作制度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现印发给你们，</w:t>
      </w:r>
      <w:r>
        <w:rPr>
          <w:rFonts w:hint="default" w:ascii="Times New Roman" w:hAnsi="Times New Roman" w:eastAsia="仿宋_GB2312" w:cs="Times New Roman"/>
          <w:sz w:val="32"/>
          <w:szCs w:val="32"/>
        </w:rPr>
        <w:t>请按照执行。</w:t>
      </w:r>
    </w:p>
    <w:p>
      <w:pPr>
        <w:keepNext w:val="0"/>
        <w:keepLines w:val="0"/>
        <w:pageBreakBefore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lang w:eastAsia="zh-CN"/>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2240" w:firstLineChars="7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上海市嘉定区国有资产监督管理委员会</w:t>
      </w:r>
    </w:p>
    <w:p>
      <w:pPr>
        <w:pStyle w:val="14"/>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480" w:firstLineChars="200"/>
        <w:jc w:val="center"/>
        <w:textAlignment w:val="auto"/>
        <w:outlineLvl w:val="0"/>
        <w:rPr>
          <w:rFonts w:hint="default" w:ascii="Times New Roman" w:hAnsi="Times New Roman" w:eastAsia="仿宋_GB2312" w:cs="Times New Roman"/>
          <w:sz w:val="32"/>
          <w:szCs w:val="32"/>
        </w:rPr>
      </w:pPr>
      <w:r>
        <w:rPr>
          <w:rFonts w:hint="default" w:ascii="Times New Roman" w:hAnsi="Times New Roman" w:cs="Times New Roman"/>
        </w:rPr>
        <w:t xml:space="preserve">              </w:t>
      </w: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w:t>
      </w:r>
    </w:p>
    <w:p>
      <w:pPr>
        <w:pStyle w:val="14"/>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center"/>
        <w:textAlignment w:val="auto"/>
        <w:outlineLvl w:val="0"/>
        <w:rPr>
          <w:rFonts w:hint="default" w:ascii="Times New Roman" w:hAnsi="Times New Roman" w:eastAsia="仿宋_GB2312" w:cs="Times New Roman"/>
          <w:sz w:val="32"/>
          <w:szCs w:val="32"/>
        </w:rPr>
      </w:pPr>
    </w:p>
    <w:p>
      <w:pPr>
        <w:pStyle w:val="14"/>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center"/>
        <w:textAlignment w:val="auto"/>
        <w:outlineLvl w:val="0"/>
        <w:rPr>
          <w:rFonts w:hint="default" w:ascii="Times New Roman" w:hAnsi="Times New Roman" w:eastAsia="仿宋_GB2312" w:cs="Times New Roman"/>
          <w:sz w:val="32"/>
          <w:szCs w:val="32"/>
        </w:rPr>
      </w:pPr>
    </w:p>
    <w:p>
      <w:pPr>
        <w:pStyle w:val="14"/>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center"/>
        <w:textAlignment w:val="auto"/>
        <w:outlineLvl w:val="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简体" w:cs="Times New Roman"/>
          <w:color w:val="auto"/>
          <w:sz w:val="40"/>
          <w:szCs w:val="40"/>
        </w:rPr>
      </w:pPr>
      <w:r>
        <w:rPr>
          <w:rFonts w:hint="default" w:ascii="Times New Roman" w:hAnsi="Times New Roman" w:eastAsia="方正小标宋简体" w:cs="Times New Roman"/>
          <w:color w:val="auto"/>
          <w:sz w:val="40"/>
          <w:szCs w:val="40"/>
        </w:rPr>
        <w:t>嘉定区</w:t>
      </w:r>
      <w:r>
        <w:rPr>
          <w:rFonts w:hint="default" w:ascii="Times New Roman" w:hAnsi="Times New Roman" w:eastAsia="方正小标宋简体" w:cs="Times New Roman"/>
          <w:color w:val="auto"/>
          <w:sz w:val="40"/>
          <w:szCs w:val="40"/>
          <w:lang w:eastAsia="zh-CN"/>
        </w:rPr>
        <w:t>国资委</w:t>
      </w:r>
      <w:r>
        <w:rPr>
          <w:rFonts w:hint="default" w:ascii="Times New Roman" w:hAnsi="Times New Roman" w:eastAsia="方正小标宋简体" w:cs="Times New Roman"/>
          <w:color w:val="auto"/>
          <w:sz w:val="40"/>
          <w:szCs w:val="40"/>
        </w:rPr>
        <w:t>预算绩效管理工作制度</w:t>
      </w:r>
    </w:p>
    <w:p>
      <w:pPr>
        <w:pageBreakBefore w:val="0"/>
        <w:kinsoku/>
        <w:wordWrap/>
        <w:overflowPunct/>
        <w:topLinePunct w:val="0"/>
        <w:autoSpaceDE/>
        <w:autoSpaceDN/>
        <w:bidi w:val="0"/>
        <w:snapToGrid w:val="0"/>
        <w:spacing w:line="580" w:lineRule="exact"/>
        <w:jc w:val="center"/>
        <w:textAlignment w:val="auto"/>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（2025年6月修订）</w:t>
      </w:r>
    </w:p>
    <w:p>
      <w:pPr>
        <w:pStyle w:val="2"/>
        <w:keepNext w:val="0"/>
        <w:keepLines w:val="0"/>
        <w:pageBreakBefore w:val="0"/>
        <w:kinsoku/>
        <w:wordWrap/>
        <w:overflowPunct/>
        <w:topLinePunct w:val="0"/>
        <w:autoSpaceDE/>
        <w:autoSpaceDN/>
        <w:bidi w:val="0"/>
        <w:textAlignment w:val="auto"/>
        <w:rPr>
          <w:rFonts w:hint="default"/>
          <w:lang w:val="en-US" w:eastAsia="zh-CN"/>
        </w:rPr>
      </w:pPr>
    </w:p>
    <w:p>
      <w:pPr>
        <w:pStyle w:val="5"/>
        <w:keepNext w:val="0"/>
        <w:keepLines w:val="0"/>
        <w:pageBreakBefore w:val="0"/>
        <w:widowControl w:val="0"/>
        <w:kinsoku/>
        <w:wordWrap/>
        <w:overflowPunct/>
        <w:topLinePunct w:val="0"/>
        <w:autoSpaceDE/>
        <w:autoSpaceDN/>
        <w:bidi w:val="0"/>
        <w:adjustRightInd/>
        <w:snapToGrid w:val="0"/>
        <w:spacing w:before="313" w:beforeLines="100" w:after="0" w:line="580" w:lineRule="exact"/>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第一章  总</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则</w:t>
      </w:r>
    </w:p>
    <w:p>
      <w:pPr>
        <w:pStyle w:val="21"/>
        <w:keepNext w:val="0"/>
        <w:keepLines w:val="0"/>
        <w:pageBreakBefore w:val="0"/>
        <w:widowControl/>
        <w:numPr>
          <w:ilvl w:val="0"/>
          <w:numId w:val="2"/>
        </w:numPr>
        <w:kinsoku/>
        <w:wordWrap/>
        <w:overflowPunct/>
        <w:topLinePunct w:val="0"/>
        <w:autoSpaceDE/>
        <w:autoSpaceDN/>
        <w:bidi w:val="0"/>
        <w:adjustRightInd w:val="0"/>
        <w:snapToGrid w:val="0"/>
        <w:spacing w:line="580" w:lineRule="exact"/>
        <w:ind w:left="0" w:firstLine="640"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color w:val="auto"/>
          <w:kern w:val="0"/>
          <w:sz w:val="32"/>
          <w:szCs w:val="32"/>
          <w:lang w:val="en-US" w:eastAsia="zh-CN"/>
        </w:rPr>
        <w:t xml:space="preserve">  </w:t>
      </w:r>
      <w:r>
        <w:rPr>
          <w:rFonts w:hint="default" w:ascii="Times New Roman" w:hAnsi="Times New Roman" w:eastAsia="仿宋" w:cs="Times New Roman"/>
          <w:color w:val="auto"/>
          <w:kern w:val="0"/>
          <w:sz w:val="32"/>
          <w:szCs w:val="32"/>
          <w:lang w:val="en"/>
        </w:rPr>
        <w:t>为加强上海市嘉定区国有资产监督管理委员会（下文简称本部门）预算绩效管理工作，建立科学、有效的预算绩效管理制度体系，合理配置资源，优化支出结构，提高资金使用效益，依据《中共上海市嘉定区委 上海市嘉定区人民政府关于我区全面实施预算绩效管理的实施意见》（嘉委发〔2019〕18号）及《上海市嘉定区人民政府办公室关于印发&lt;嘉定区加强成本预算绩效管理的实施方案&gt;的通知》（嘉府办发〔2024〕3号）等有关法律</w:t>
      </w:r>
      <w:r>
        <w:rPr>
          <w:rFonts w:hint="default" w:ascii="Times New Roman" w:hAnsi="Times New Roman" w:eastAsia="仿宋" w:cs="Times New Roman"/>
          <w:color w:val="auto"/>
          <w:kern w:val="0"/>
          <w:sz w:val="32"/>
          <w:szCs w:val="32"/>
          <w:lang w:val="en" w:eastAsia="zh-CN"/>
        </w:rPr>
        <w:t>法规和</w:t>
      </w:r>
      <w:r>
        <w:rPr>
          <w:rFonts w:hint="default" w:ascii="Times New Roman" w:hAnsi="Times New Roman" w:eastAsia="仿宋" w:cs="Times New Roman"/>
          <w:color w:val="auto"/>
          <w:kern w:val="0"/>
          <w:sz w:val="32"/>
          <w:szCs w:val="32"/>
          <w:lang w:val="en"/>
        </w:rPr>
        <w:t>文件规定，结合区委、区政府相关要求和本部门实际，制定本办法。</w:t>
      </w:r>
    </w:p>
    <w:p>
      <w:pPr>
        <w:pStyle w:val="21"/>
        <w:keepNext w:val="0"/>
        <w:keepLines w:val="0"/>
        <w:pageBreakBefore w:val="0"/>
        <w:widowControl/>
        <w:numPr>
          <w:ilvl w:val="0"/>
          <w:numId w:val="2"/>
        </w:numPr>
        <w:kinsoku/>
        <w:wordWrap/>
        <w:overflowPunct/>
        <w:topLinePunct w:val="0"/>
        <w:autoSpaceDE/>
        <w:autoSpaceDN/>
        <w:bidi w:val="0"/>
        <w:adjustRightInd w:val="0"/>
        <w:snapToGrid w:val="0"/>
        <w:spacing w:line="580" w:lineRule="exact"/>
        <w:ind w:left="0" w:firstLine="640"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color w:val="auto"/>
          <w:kern w:val="0"/>
          <w:sz w:val="32"/>
          <w:szCs w:val="32"/>
          <w:lang w:val="en-US" w:eastAsia="zh-CN"/>
        </w:rPr>
        <w:t xml:space="preserve">  </w:t>
      </w:r>
      <w:r>
        <w:rPr>
          <w:rFonts w:hint="default" w:ascii="Times New Roman" w:hAnsi="Times New Roman" w:eastAsia="仿宋" w:cs="Times New Roman"/>
          <w:color w:val="auto"/>
          <w:kern w:val="0"/>
          <w:sz w:val="32"/>
          <w:szCs w:val="32"/>
          <w:lang w:val="en"/>
        </w:rPr>
        <w:t>预算绩效管理是以预算为对象，以提高预算收支质量和效益为目的，将绩效理念融入预算编制、执行、监督全过程，实现预算与绩效有机融合的管理活动。</w:t>
      </w:r>
    </w:p>
    <w:p>
      <w:pPr>
        <w:pStyle w:val="21"/>
        <w:keepNext w:val="0"/>
        <w:keepLines w:val="0"/>
        <w:pageBreakBefore w:val="0"/>
        <w:widowControl/>
        <w:numPr>
          <w:ilvl w:val="0"/>
          <w:numId w:val="2"/>
        </w:numPr>
        <w:kinsoku/>
        <w:wordWrap/>
        <w:overflowPunct/>
        <w:topLinePunct w:val="0"/>
        <w:autoSpaceDE/>
        <w:autoSpaceDN/>
        <w:bidi w:val="0"/>
        <w:adjustRightInd w:val="0"/>
        <w:snapToGrid w:val="0"/>
        <w:spacing w:line="580" w:lineRule="exact"/>
        <w:ind w:left="0" w:firstLine="640"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color w:val="auto"/>
          <w:kern w:val="0"/>
          <w:sz w:val="32"/>
          <w:szCs w:val="32"/>
          <w:lang w:val="en-US" w:eastAsia="zh-CN"/>
        </w:rPr>
        <w:t xml:space="preserve">  </w:t>
      </w:r>
      <w:r>
        <w:rPr>
          <w:rFonts w:hint="default" w:ascii="Times New Roman" w:hAnsi="Times New Roman" w:eastAsia="仿宋" w:cs="Times New Roman"/>
          <w:color w:val="auto"/>
          <w:kern w:val="0"/>
          <w:sz w:val="32"/>
          <w:szCs w:val="32"/>
          <w:lang w:val="en"/>
        </w:rPr>
        <w:t>预算绩效管理的原则</w:t>
      </w:r>
      <w:r>
        <w:rPr>
          <w:rFonts w:hint="default" w:ascii="Times New Roman" w:hAnsi="Times New Roman" w:eastAsia="仿宋" w:cs="Times New Roman"/>
          <w:color w:val="auto"/>
          <w:kern w:val="0"/>
          <w:sz w:val="32"/>
          <w:szCs w:val="32"/>
          <w:lang w:val="en"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color w:val="auto"/>
          <w:kern w:val="0"/>
          <w:sz w:val="32"/>
          <w:szCs w:val="32"/>
          <w:lang w:val="en"/>
        </w:rPr>
        <w:t>（一）绩效导向原则。预算绩效管理各个环节要以绩效（即产出和结果）为核心导向，将绩效管理贯穿于预算管理全过程，实现资金运行和预算管理效益最大化。</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color w:val="auto"/>
          <w:kern w:val="0"/>
          <w:sz w:val="32"/>
          <w:szCs w:val="32"/>
          <w:lang w:val="en"/>
        </w:rPr>
        <w:t>（二）目标管理原则。预算绩效管理要围绕绩效目标进行，将预算绩效目标与工作目标、工作任务</w:t>
      </w:r>
      <w:r>
        <w:rPr>
          <w:rFonts w:hint="default" w:ascii="Times New Roman" w:hAnsi="Times New Roman" w:eastAsia="仿宋" w:cs="Times New Roman"/>
          <w:color w:val="auto"/>
          <w:kern w:val="0"/>
          <w:sz w:val="32"/>
          <w:szCs w:val="32"/>
          <w:lang w:val="en" w:eastAsia="zh-CN"/>
        </w:rPr>
        <w:t>相</w:t>
      </w:r>
      <w:r>
        <w:rPr>
          <w:rFonts w:hint="default" w:ascii="Times New Roman" w:hAnsi="Times New Roman" w:eastAsia="仿宋" w:cs="Times New Roman"/>
          <w:color w:val="auto"/>
          <w:kern w:val="0"/>
          <w:sz w:val="32"/>
          <w:szCs w:val="32"/>
          <w:lang w:val="en"/>
        </w:rPr>
        <w:t>结合，事前设定目标、事中监控目标实现进度、事后评价目标完成情况。</w:t>
      </w:r>
    </w:p>
    <w:p>
      <w:pPr>
        <w:pStyle w:val="5"/>
        <w:keepNext w:val="0"/>
        <w:keepLines w:val="0"/>
        <w:pageBreakBefore w:val="0"/>
        <w:widowControl w:val="0"/>
        <w:kinsoku/>
        <w:wordWrap/>
        <w:overflowPunct/>
        <w:topLinePunct w:val="0"/>
        <w:autoSpaceDE/>
        <w:autoSpaceDN/>
        <w:bidi w:val="0"/>
        <w:adjustRightInd/>
        <w:snapToGrid w:val="0"/>
        <w:spacing w:before="157" w:beforeLines="50" w:after="0" w:line="600" w:lineRule="exact"/>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第二章  预算绩效管理职责</w:t>
      </w:r>
    </w:p>
    <w:p>
      <w:pPr>
        <w:pStyle w:val="21"/>
        <w:keepNext w:val="0"/>
        <w:keepLines w:val="0"/>
        <w:pageBreakBefore w:val="0"/>
        <w:widowControl/>
        <w:numPr>
          <w:ilvl w:val="0"/>
          <w:numId w:val="2"/>
        </w:numPr>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color w:val="auto"/>
          <w:kern w:val="0"/>
          <w:sz w:val="32"/>
          <w:szCs w:val="32"/>
          <w:lang w:val="en-US" w:eastAsia="zh-CN"/>
        </w:rPr>
        <w:t xml:space="preserve">  </w:t>
      </w:r>
      <w:r>
        <w:rPr>
          <w:rFonts w:hint="default" w:ascii="Times New Roman" w:hAnsi="Times New Roman" w:eastAsia="仿宋" w:cs="Times New Roman"/>
          <w:color w:val="auto"/>
          <w:kern w:val="0"/>
          <w:sz w:val="32"/>
          <w:szCs w:val="32"/>
          <w:lang w:val="en"/>
        </w:rPr>
        <w:t>本部门行政领导班子对预算绩效管理进行总体领导和组织协调。主要负责审批本</w:t>
      </w:r>
      <w:r>
        <w:rPr>
          <w:rFonts w:hint="default" w:ascii="Times New Roman" w:hAnsi="Times New Roman" w:eastAsia="仿宋" w:cs="Times New Roman"/>
          <w:color w:val="auto"/>
          <w:kern w:val="0"/>
          <w:sz w:val="32"/>
          <w:szCs w:val="32"/>
          <w:lang w:val="en" w:eastAsia="zh-CN"/>
        </w:rPr>
        <w:t>部门</w:t>
      </w:r>
      <w:r>
        <w:rPr>
          <w:rFonts w:hint="default" w:ascii="Times New Roman" w:hAnsi="Times New Roman" w:eastAsia="仿宋" w:cs="Times New Roman"/>
          <w:color w:val="auto"/>
          <w:kern w:val="0"/>
          <w:sz w:val="32"/>
          <w:szCs w:val="32"/>
          <w:lang w:val="en"/>
        </w:rPr>
        <w:t>预算绩效管理</w:t>
      </w:r>
      <w:r>
        <w:rPr>
          <w:rFonts w:hint="default" w:ascii="Times New Roman" w:hAnsi="Times New Roman" w:eastAsia="仿宋" w:cs="Times New Roman"/>
          <w:color w:val="auto"/>
          <w:kern w:val="0"/>
          <w:sz w:val="32"/>
          <w:szCs w:val="32"/>
          <w:lang w:val="en" w:eastAsia="zh-CN"/>
        </w:rPr>
        <w:t>工作制度</w:t>
      </w:r>
      <w:r>
        <w:rPr>
          <w:rFonts w:hint="default" w:ascii="Times New Roman" w:hAnsi="Times New Roman" w:eastAsia="仿宋" w:cs="Times New Roman"/>
          <w:color w:val="auto"/>
          <w:kern w:val="0"/>
          <w:sz w:val="32"/>
          <w:szCs w:val="32"/>
          <w:lang w:val="en"/>
        </w:rPr>
        <w:t>、年度绩效目标、绩效跟踪结果以及绩效评价结果等重大事项。</w:t>
      </w:r>
    </w:p>
    <w:p>
      <w:pPr>
        <w:pStyle w:val="21"/>
        <w:keepNext w:val="0"/>
        <w:keepLines w:val="0"/>
        <w:pageBreakBefore w:val="0"/>
        <w:widowControl/>
        <w:numPr>
          <w:ilvl w:val="0"/>
          <w:numId w:val="2"/>
        </w:numPr>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仿宋_GB2312" w:cs="Times New Roman"/>
          <w:b/>
          <w:color w:val="auto"/>
          <w:kern w:val="0"/>
          <w:sz w:val="32"/>
          <w:szCs w:val="32"/>
        </w:rPr>
      </w:pPr>
      <w:r>
        <w:rPr>
          <w:rFonts w:hint="default" w:ascii="Times New Roman" w:hAnsi="Times New Roman" w:eastAsia="仿宋" w:cs="Times New Roman"/>
          <w:color w:val="auto"/>
          <w:kern w:val="0"/>
          <w:sz w:val="32"/>
          <w:szCs w:val="32"/>
          <w:lang w:val="en-US" w:eastAsia="zh-CN" w:bidi="ar-SA"/>
        </w:rPr>
        <w:t xml:space="preserve">  </w:t>
      </w:r>
      <w:r>
        <w:rPr>
          <w:rFonts w:hint="default" w:ascii="Times New Roman" w:hAnsi="Times New Roman" w:eastAsia="仿宋" w:cs="Times New Roman"/>
          <w:color w:val="auto"/>
          <w:kern w:val="0"/>
          <w:sz w:val="32"/>
          <w:szCs w:val="32"/>
          <w:lang w:val="en" w:eastAsia="zh-CN" w:bidi="ar-SA"/>
        </w:rPr>
        <w:t>办公室是预算绩效管理的牵头科室，协调并具体负责本部门预算绩效管理工作。主要负责制定部门预算绩效管理工作制度，健全本部门财务和业务之间的工作协同机制；布置、指导、督促和检查各科室的预算绩效管理工作；按规定实施本部门预算绩效管理信息公开；配合财政部门对本部门预算绩效管理工作情况进行检查、考核等工作。</w:t>
      </w:r>
    </w:p>
    <w:p>
      <w:pPr>
        <w:pStyle w:val="21"/>
        <w:keepNext w:val="0"/>
        <w:keepLines w:val="0"/>
        <w:pageBreakBefore w:val="0"/>
        <w:widowControl/>
        <w:numPr>
          <w:ilvl w:val="0"/>
          <w:numId w:val="2"/>
        </w:numPr>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color w:val="auto"/>
          <w:kern w:val="0"/>
          <w:sz w:val="32"/>
          <w:szCs w:val="32"/>
          <w:lang w:val="en-US" w:eastAsia="zh-CN" w:bidi="ar-SA"/>
        </w:rPr>
        <w:t xml:space="preserve">  </w:t>
      </w:r>
      <w:r>
        <w:rPr>
          <w:rFonts w:hint="default" w:ascii="Times New Roman" w:hAnsi="Times New Roman" w:eastAsia="仿宋" w:cs="Times New Roman"/>
          <w:color w:val="auto"/>
          <w:kern w:val="0"/>
          <w:sz w:val="32"/>
          <w:szCs w:val="32"/>
          <w:lang w:val="en" w:eastAsia="zh-CN" w:bidi="ar-SA"/>
        </w:rPr>
        <w:t>各科室是本部门预算绩效管理的责任主体和实施主体，具体负责科室预算绩效管理工作。按要求对新增重大政策或重点项目开展事前绩效评估，并形成评估结果报送办公室；按规定编报绩效目标，配合办公室开展绩效目标评审工作；对预算的执行进行绩效跟踪，并将预算执行中存在的问题和整改措施报送办公室；组织开展绩效自评工作，并配合办公室开展绩效评价工作，根据评价结果落实整改措施；按要求开展项目成本绩效分析，</w:t>
      </w:r>
      <w:r>
        <w:rPr>
          <w:rFonts w:hint="default" w:ascii="Times New Roman" w:hAnsi="Times New Roman" w:eastAsia="仿宋" w:cs="Times New Roman"/>
          <w:color w:val="auto"/>
          <w:kern w:val="0"/>
          <w:sz w:val="32"/>
          <w:szCs w:val="32"/>
          <w:lang w:val="en-US" w:eastAsia="zh-CN" w:bidi="ar-SA"/>
        </w:rPr>
        <w:t>推动财政资金降本增效与业务优化深度融合。</w:t>
      </w:r>
    </w:p>
    <w:p>
      <w:pPr>
        <w:pStyle w:val="5"/>
        <w:keepNext w:val="0"/>
        <w:keepLines w:val="0"/>
        <w:pageBreakBefore w:val="0"/>
        <w:widowControl w:val="0"/>
        <w:kinsoku/>
        <w:wordWrap/>
        <w:overflowPunct/>
        <w:topLinePunct w:val="0"/>
        <w:autoSpaceDE/>
        <w:autoSpaceDN/>
        <w:bidi w:val="0"/>
        <w:adjustRightInd/>
        <w:snapToGrid w:val="0"/>
        <w:spacing w:before="157" w:beforeLines="50" w:after="0" w:line="580" w:lineRule="exact"/>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第三章  预算编制阶段绩效管理</w:t>
      </w:r>
    </w:p>
    <w:p>
      <w:pPr>
        <w:pStyle w:val="21"/>
        <w:keepNext w:val="0"/>
        <w:keepLines w:val="0"/>
        <w:pageBreakBefore w:val="0"/>
        <w:widowControl/>
        <w:numPr>
          <w:ilvl w:val="0"/>
          <w:numId w:val="2"/>
        </w:numPr>
        <w:kinsoku/>
        <w:wordWrap/>
        <w:overflowPunct/>
        <w:topLinePunct w:val="0"/>
        <w:autoSpaceDE/>
        <w:autoSpaceDN/>
        <w:bidi w:val="0"/>
        <w:adjustRightInd w:val="0"/>
        <w:snapToGrid w:val="0"/>
        <w:spacing w:line="580" w:lineRule="exact"/>
        <w:ind w:left="0" w:firstLine="640"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color w:val="auto"/>
          <w:kern w:val="0"/>
          <w:sz w:val="32"/>
          <w:szCs w:val="32"/>
          <w:lang w:val="en-US" w:eastAsia="zh-CN"/>
        </w:rPr>
        <w:t xml:space="preserve">  </w:t>
      </w:r>
      <w:r>
        <w:rPr>
          <w:rFonts w:hint="default" w:ascii="Times New Roman" w:hAnsi="Times New Roman" w:eastAsia="仿宋" w:cs="Times New Roman"/>
          <w:color w:val="auto"/>
          <w:kern w:val="0"/>
          <w:sz w:val="32"/>
          <w:szCs w:val="32"/>
          <w:lang w:val="en"/>
        </w:rPr>
        <w:t>预算编制阶段应开展绩效目标编审和完成新增项目的事前绩效评估工作。绩效目标是部门使用预算资金在一定期限内预期达到的产出和效果，是预算绩效管理的前提和基础。各科室在申请年度预算时，应按照规定要求同步编报绩效目标。未按照规定申报绩效目标的，不得安排预算。</w:t>
      </w:r>
    </w:p>
    <w:p>
      <w:pPr>
        <w:pStyle w:val="21"/>
        <w:keepNext w:val="0"/>
        <w:keepLines w:val="0"/>
        <w:pageBreakBefore w:val="0"/>
        <w:widowControl/>
        <w:numPr>
          <w:ilvl w:val="0"/>
          <w:numId w:val="2"/>
        </w:numPr>
        <w:kinsoku/>
        <w:wordWrap/>
        <w:overflowPunct/>
        <w:topLinePunct w:val="0"/>
        <w:autoSpaceDE/>
        <w:autoSpaceDN/>
        <w:bidi w:val="0"/>
        <w:adjustRightInd w:val="0"/>
        <w:snapToGrid w:val="0"/>
        <w:spacing w:line="580" w:lineRule="exact"/>
        <w:ind w:left="0" w:firstLine="640"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color w:val="auto"/>
          <w:kern w:val="0"/>
          <w:sz w:val="32"/>
          <w:szCs w:val="32"/>
          <w:lang w:val="en-US" w:eastAsia="zh-CN"/>
        </w:rPr>
        <w:t xml:space="preserve">  </w:t>
      </w:r>
      <w:r>
        <w:rPr>
          <w:rFonts w:hint="default" w:ascii="Times New Roman" w:hAnsi="Times New Roman" w:eastAsia="仿宋" w:cs="Times New Roman"/>
          <w:color w:val="auto"/>
          <w:kern w:val="0"/>
          <w:sz w:val="32"/>
          <w:szCs w:val="32"/>
          <w:lang w:val="en"/>
        </w:rPr>
        <w:t>绩效目标的内容应反映预期的产出、效益和满意度等，并以相应的绩效指标予以细化和量化，主要包括：</w:t>
      </w:r>
    </w:p>
    <w:p>
      <w:pPr>
        <w:pStyle w:val="21"/>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color w:val="auto"/>
          <w:kern w:val="0"/>
          <w:sz w:val="32"/>
          <w:szCs w:val="32"/>
          <w:lang w:val="en"/>
        </w:rPr>
        <w:t>（一）产出指标，包括数量指标、质量指标、时效指标，以及达到预期产出所需要的成本和资源等。</w:t>
      </w:r>
    </w:p>
    <w:p>
      <w:pPr>
        <w:pStyle w:val="21"/>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color w:val="auto"/>
          <w:kern w:val="0"/>
          <w:sz w:val="32"/>
          <w:szCs w:val="32"/>
          <w:lang w:val="en"/>
        </w:rPr>
        <w:t>（二）效益指标，包括经济效益、社会效益、生态效益、可持续影响指标等。</w:t>
      </w:r>
    </w:p>
    <w:p>
      <w:pPr>
        <w:pStyle w:val="21"/>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color w:val="auto"/>
          <w:kern w:val="0"/>
          <w:sz w:val="32"/>
          <w:szCs w:val="32"/>
          <w:lang w:val="en"/>
        </w:rPr>
        <w:t>（三）满意度指标，包括社会公众、服务对象或其他利益相关者的满意度指标等。</w:t>
      </w:r>
    </w:p>
    <w:p>
      <w:pPr>
        <w:pStyle w:val="21"/>
        <w:keepNext w:val="0"/>
        <w:keepLines w:val="0"/>
        <w:pageBreakBefore w:val="0"/>
        <w:widowControl/>
        <w:numPr>
          <w:ilvl w:val="0"/>
          <w:numId w:val="2"/>
        </w:numPr>
        <w:kinsoku/>
        <w:wordWrap/>
        <w:overflowPunct/>
        <w:topLinePunct w:val="0"/>
        <w:autoSpaceDE/>
        <w:autoSpaceDN/>
        <w:bidi w:val="0"/>
        <w:adjustRightInd w:val="0"/>
        <w:snapToGrid w:val="0"/>
        <w:spacing w:line="580" w:lineRule="exact"/>
        <w:ind w:left="0" w:firstLine="640"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color w:val="auto"/>
          <w:kern w:val="0"/>
          <w:sz w:val="32"/>
          <w:szCs w:val="32"/>
          <w:lang w:val="en-US" w:eastAsia="zh-CN"/>
        </w:rPr>
        <w:t xml:space="preserve">  </w:t>
      </w:r>
      <w:r>
        <w:rPr>
          <w:rFonts w:hint="default" w:ascii="Times New Roman" w:hAnsi="Times New Roman" w:eastAsia="仿宋" w:cs="Times New Roman"/>
          <w:color w:val="auto"/>
          <w:kern w:val="0"/>
          <w:sz w:val="32"/>
          <w:szCs w:val="32"/>
          <w:lang w:val="en"/>
        </w:rPr>
        <w:t>绩效目标的设定应符合以下要求：</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color w:val="auto"/>
          <w:kern w:val="0"/>
          <w:sz w:val="32"/>
          <w:szCs w:val="32"/>
          <w:lang w:val="en"/>
        </w:rPr>
        <w:t>（一）指向明确。绩效目标要符合国民经济和社会发展规划、各科室职能、年度工作计划等，并与相应的支出内容、范围、方向、效果等紧密相关。</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color w:val="auto"/>
          <w:kern w:val="0"/>
          <w:sz w:val="32"/>
          <w:szCs w:val="32"/>
          <w:lang w:val="en"/>
        </w:rPr>
        <w:t>（二）细化量化。绩效目标应当从数量、质量、成本、时效以及经济效益、社会效益、生态效益、可持续影响、满意度等方面进行细化，尽量进行定量表述。不能以量化形式表述的，可采用定性的分级分档形式表述。</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color w:val="auto"/>
          <w:kern w:val="0"/>
          <w:sz w:val="32"/>
          <w:szCs w:val="32"/>
          <w:lang w:val="en"/>
        </w:rPr>
        <w:t>（三）合理可行。设定绩效目标时要经过调查研究和科学论证，符合客观实际，预计可在一定时限内如期实现。</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b/>
          <w:bCs/>
          <w:color w:val="auto"/>
          <w:kern w:val="0"/>
          <w:sz w:val="32"/>
          <w:szCs w:val="32"/>
          <w:lang w:val="en" w:eastAsia="zh-CN"/>
        </w:rPr>
        <w:t>第十条</w:t>
      </w:r>
      <w:r>
        <w:rPr>
          <w:rFonts w:hint="default" w:ascii="Times New Roman" w:hAnsi="Times New Roman" w:eastAsia="仿宋" w:cs="Times New Roman"/>
          <w:b/>
          <w:bCs/>
          <w:color w:val="auto"/>
          <w:kern w:val="0"/>
          <w:sz w:val="32"/>
          <w:szCs w:val="32"/>
          <w:lang w:val="en-US" w:eastAsia="zh-CN"/>
        </w:rPr>
        <w:t xml:space="preserve">  </w:t>
      </w:r>
      <w:r>
        <w:rPr>
          <w:rFonts w:hint="default" w:ascii="Times New Roman" w:hAnsi="Times New Roman" w:eastAsia="仿宋" w:cs="Times New Roman"/>
          <w:color w:val="auto"/>
          <w:kern w:val="0"/>
          <w:sz w:val="32"/>
          <w:szCs w:val="32"/>
          <w:lang w:val="en"/>
        </w:rPr>
        <w:t>对计划新增的重大政策和项目，或计划对现有重大政策和重大项目进行调整的，应按照财政部门的规定开展事前绩效评估。事前绩效评估内容主要包括立项必要性、投入经济性、绩效目标合理性、实施方案可行性、筹资合规性等。</w:t>
      </w:r>
    </w:p>
    <w:p>
      <w:pPr>
        <w:pStyle w:val="21"/>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color w:val="auto"/>
          <w:kern w:val="0"/>
          <w:sz w:val="32"/>
          <w:szCs w:val="32"/>
          <w:lang w:val="en"/>
        </w:rPr>
        <w:t>事前绩效评估报告作为申请财政预算的必备要件，须在编制年度预算时同步提交。未按要求开展绩效评估或者绩效评估结果未通过的，不得安排预算。</w:t>
      </w:r>
    </w:p>
    <w:p>
      <w:pPr>
        <w:pStyle w:val="21"/>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color w:val="auto"/>
          <w:kern w:val="0"/>
          <w:sz w:val="32"/>
          <w:szCs w:val="32"/>
          <w:lang w:val="en" w:eastAsia="zh-CN"/>
        </w:rPr>
        <w:t>办公室</w:t>
      </w:r>
      <w:r>
        <w:rPr>
          <w:rFonts w:hint="default" w:ascii="Times New Roman" w:hAnsi="Times New Roman" w:eastAsia="仿宋" w:cs="Times New Roman"/>
          <w:color w:val="auto"/>
          <w:kern w:val="0"/>
          <w:sz w:val="32"/>
          <w:szCs w:val="32"/>
          <w:lang w:val="en"/>
        </w:rPr>
        <w:t>对各科室报送的事前绩效评估报告进行审核，必要时可以委托第三方机构进一步开展完整全面的事前绩效评估，审核和评估结果作为预算安排的重要依据。</w:t>
      </w:r>
    </w:p>
    <w:p>
      <w:pPr>
        <w:pStyle w:val="5"/>
        <w:keepNext w:val="0"/>
        <w:keepLines w:val="0"/>
        <w:pageBreakBefore w:val="0"/>
        <w:widowControl w:val="0"/>
        <w:kinsoku/>
        <w:wordWrap/>
        <w:overflowPunct/>
        <w:topLinePunct w:val="0"/>
        <w:autoSpaceDE/>
        <w:autoSpaceDN/>
        <w:bidi w:val="0"/>
        <w:adjustRightInd/>
        <w:snapToGrid w:val="0"/>
        <w:spacing w:before="157" w:beforeLines="50" w:after="0" w:line="580" w:lineRule="exact"/>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第四章  预算执行阶段绩效管理</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b/>
          <w:bCs/>
          <w:color w:val="auto"/>
          <w:kern w:val="0"/>
          <w:sz w:val="32"/>
          <w:szCs w:val="32"/>
          <w:lang w:val="en" w:eastAsia="zh-CN"/>
        </w:rPr>
        <w:t>第十一条</w:t>
      </w:r>
      <w:r>
        <w:rPr>
          <w:rFonts w:hint="default" w:ascii="Times New Roman" w:hAnsi="Times New Roman" w:eastAsia="仿宋" w:cs="Times New Roman"/>
          <w:b/>
          <w:bCs/>
          <w:color w:val="auto"/>
          <w:kern w:val="0"/>
          <w:sz w:val="32"/>
          <w:szCs w:val="32"/>
          <w:lang w:val="en-US" w:eastAsia="zh-CN"/>
        </w:rPr>
        <w:t xml:space="preserve">  </w:t>
      </w:r>
      <w:r>
        <w:rPr>
          <w:rFonts w:hint="default" w:ascii="Times New Roman" w:hAnsi="Times New Roman" w:eastAsia="仿宋" w:cs="Times New Roman"/>
          <w:color w:val="auto"/>
          <w:kern w:val="0"/>
          <w:sz w:val="32"/>
          <w:szCs w:val="32"/>
          <w:lang w:val="en"/>
        </w:rPr>
        <w:t>绩效跟踪是预算绩效管理的重要环节。在预算执行期间，各科室要对绩效目标的实现程度和预算执行进度实行“双监控”，并填报绩效跟踪表，原则上每年至少跟踪一次，并可根据需要增加跟踪频次。</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b/>
          <w:bCs/>
          <w:color w:val="auto"/>
          <w:kern w:val="0"/>
          <w:sz w:val="32"/>
          <w:szCs w:val="32"/>
          <w:lang w:val="en" w:eastAsia="zh-CN"/>
        </w:rPr>
        <w:t>第十二条</w:t>
      </w:r>
      <w:r>
        <w:rPr>
          <w:rFonts w:hint="default" w:ascii="Times New Roman" w:hAnsi="Times New Roman" w:eastAsia="仿宋" w:cs="Times New Roman"/>
          <w:b/>
          <w:bCs/>
          <w:color w:val="auto"/>
          <w:kern w:val="0"/>
          <w:sz w:val="32"/>
          <w:szCs w:val="32"/>
          <w:lang w:val="en-US" w:eastAsia="zh-CN"/>
        </w:rPr>
        <w:t xml:space="preserve">  </w:t>
      </w:r>
      <w:r>
        <w:rPr>
          <w:rFonts w:hint="default" w:ascii="Times New Roman" w:hAnsi="Times New Roman" w:eastAsia="仿宋" w:cs="Times New Roman"/>
          <w:color w:val="auto"/>
          <w:kern w:val="0"/>
          <w:sz w:val="32"/>
          <w:szCs w:val="32"/>
          <w:lang w:val="en"/>
        </w:rPr>
        <w:t>绩效跟踪是各科室改进预算管理、提高财政预算绩效的重要依据。各科室应对其预算执行过程中的项目管理和目标要求的完成情况（目标保障）、目标实现程度、目标偏差和纠偏情况等进行跟踪。</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b/>
          <w:bCs/>
          <w:color w:val="auto"/>
          <w:kern w:val="0"/>
          <w:sz w:val="32"/>
          <w:szCs w:val="32"/>
          <w:lang w:val="en" w:eastAsia="zh-CN"/>
        </w:rPr>
        <w:t>第十三条</w:t>
      </w:r>
      <w:r>
        <w:rPr>
          <w:rFonts w:hint="default" w:ascii="Times New Roman" w:hAnsi="Times New Roman" w:eastAsia="仿宋" w:cs="Times New Roman"/>
          <w:b/>
          <w:bCs/>
          <w:color w:val="auto"/>
          <w:kern w:val="0"/>
          <w:sz w:val="32"/>
          <w:szCs w:val="32"/>
          <w:lang w:val="en-US" w:eastAsia="zh-CN"/>
        </w:rPr>
        <w:t xml:space="preserve">  </w:t>
      </w:r>
      <w:r>
        <w:rPr>
          <w:rFonts w:hint="default" w:ascii="Times New Roman" w:hAnsi="Times New Roman" w:eastAsia="仿宋" w:cs="Times New Roman"/>
          <w:color w:val="auto"/>
          <w:kern w:val="0"/>
          <w:sz w:val="32"/>
          <w:szCs w:val="32"/>
          <w:lang w:val="en"/>
        </w:rPr>
        <w:t>若发现绩效跟踪结果</w:t>
      </w:r>
      <w:r>
        <w:rPr>
          <w:rFonts w:hint="default" w:ascii="Times New Roman" w:hAnsi="Times New Roman" w:eastAsia="仿宋" w:cs="Times New Roman"/>
          <w:color w:val="auto"/>
          <w:kern w:val="0"/>
          <w:sz w:val="32"/>
          <w:szCs w:val="32"/>
          <w:lang w:val="en" w:eastAsia="zh-CN"/>
        </w:rPr>
        <w:t>偏离</w:t>
      </w:r>
      <w:r>
        <w:rPr>
          <w:rFonts w:hint="default" w:ascii="Times New Roman" w:hAnsi="Times New Roman" w:eastAsia="仿宋" w:cs="Times New Roman"/>
          <w:color w:val="auto"/>
          <w:kern w:val="0"/>
          <w:sz w:val="32"/>
          <w:szCs w:val="32"/>
          <w:lang w:val="en"/>
        </w:rPr>
        <w:t>绩效目标、未达预期进度和目标的，各科室应分析原因，及时纠偏和整改；对确需调整预算或绩效目标的，应按照规定程序及时调整；对存在严重问题的政策和项目，应暂缓或停止资金支出</w:t>
      </w:r>
      <w:r>
        <w:rPr>
          <w:rFonts w:hint="default" w:ascii="Times New Roman" w:hAnsi="Times New Roman" w:eastAsia="仿宋" w:cs="Times New Roman"/>
          <w:color w:val="auto"/>
          <w:kern w:val="0"/>
          <w:sz w:val="32"/>
          <w:szCs w:val="32"/>
          <w:lang w:val="en" w:eastAsia="zh-CN"/>
        </w:rPr>
        <w:t>安排</w:t>
      </w:r>
      <w:r>
        <w:rPr>
          <w:rFonts w:hint="default" w:ascii="Times New Roman" w:hAnsi="Times New Roman" w:eastAsia="仿宋" w:cs="Times New Roman"/>
          <w:color w:val="auto"/>
          <w:kern w:val="0"/>
          <w:sz w:val="32"/>
          <w:szCs w:val="32"/>
          <w:lang w:val="en"/>
        </w:rPr>
        <w:t>，限期整改落实。</w:t>
      </w:r>
    </w:p>
    <w:p>
      <w:pPr>
        <w:pStyle w:val="5"/>
        <w:keepNext w:val="0"/>
        <w:keepLines w:val="0"/>
        <w:pageBreakBefore w:val="0"/>
        <w:widowControl w:val="0"/>
        <w:kinsoku/>
        <w:wordWrap/>
        <w:overflowPunct/>
        <w:topLinePunct w:val="0"/>
        <w:autoSpaceDE/>
        <w:autoSpaceDN/>
        <w:bidi w:val="0"/>
        <w:adjustRightInd/>
        <w:snapToGrid w:val="0"/>
        <w:spacing w:before="157" w:beforeLines="50" w:after="0" w:line="580" w:lineRule="exact"/>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第五章  决算阶段绩效管理</w:t>
      </w:r>
    </w:p>
    <w:p>
      <w:pPr>
        <w:pStyle w:val="21"/>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b/>
          <w:bCs/>
          <w:color w:val="auto"/>
          <w:kern w:val="0"/>
          <w:sz w:val="32"/>
          <w:szCs w:val="32"/>
          <w:lang w:val="en" w:eastAsia="zh-CN"/>
        </w:rPr>
        <w:t>第十四条</w:t>
      </w:r>
      <w:r>
        <w:rPr>
          <w:rFonts w:hint="default" w:ascii="Times New Roman" w:hAnsi="Times New Roman" w:eastAsia="仿宋" w:cs="Times New Roman"/>
          <w:b/>
          <w:bCs/>
          <w:color w:val="auto"/>
          <w:kern w:val="0"/>
          <w:sz w:val="32"/>
          <w:szCs w:val="32"/>
          <w:lang w:val="en-US" w:eastAsia="zh-CN"/>
        </w:rPr>
        <w:t xml:space="preserve">  </w:t>
      </w:r>
      <w:r>
        <w:rPr>
          <w:rFonts w:hint="default" w:ascii="Times New Roman" w:hAnsi="Times New Roman" w:eastAsia="仿宋" w:cs="Times New Roman"/>
          <w:color w:val="auto"/>
          <w:kern w:val="0"/>
          <w:sz w:val="32"/>
          <w:szCs w:val="32"/>
          <w:lang w:val="en"/>
        </w:rPr>
        <w:t>预算执行完毕后应开展绩效评价工作。绩效评价应按财政部门的要求定期开展，绩效评价的范围和数量应达到财政部门下达的任务要求或相关考核标准。</w:t>
      </w:r>
    </w:p>
    <w:p>
      <w:pPr>
        <w:pStyle w:val="21"/>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b/>
          <w:bCs/>
          <w:color w:val="auto"/>
          <w:kern w:val="0"/>
          <w:sz w:val="32"/>
          <w:szCs w:val="32"/>
          <w:lang w:val="en" w:eastAsia="zh-CN"/>
        </w:rPr>
        <w:t>第十五条</w:t>
      </w:r>
      <w:r>
        <w:rPr>
          <w:rFonts w:hint="default" w:ascii="Times New Roman" w:hAnsi="Times New Roman" w:eastAsia="仿宋" w:cs="Times New Roman"/>
          <w:b/>
          <w:bCs/>
          <w:color w:val="auto"/>
          <w:kern w:val="0"/>
          <w:sz w:val="32"/>
          <w:szCs w:val="32"/>
          <w:lang w:val="en-US" w:eastAsia="zh-CN"/>
        </w:rPr>
        <w:t xml:space="preserve">  </w:t>
      </w:r>
      <w:r>
        <w:rPr>
          <w:rFonts w:hint="default" w:ascii="Times New Roman" w:hAnsi="Times New Roman" w:eastAsia="仿宋" w:cs="Times New Roman"/>
          <w:color w:val="auto"/>
          <w:kern w:val="0"/>
          <w:sz w:val="32"/>
          <w:szCs w:val="32"/>
          <w:lang w:val="en"/>
        </w:rPr>
        <w:t>绩效评价是预算绩效管理的重要手段。绩效评价应当遵循“科学公正、统筹兼顾、激励约束、公开透明”的基本原则实施。</w:t>
      </w:r>
    </w:p>
    <w:p>
      <w:pPr>
        <w:pStyle w:val="21"/>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 w:cs="Times New Roman"/>
          <w:b/>
          <w:bCs/>
          <w:color w:val="auto"/>
          <w:kern w:val="0"/>
          <w:sz w:val="32"/>
          <w:szCs w:val="32"/>
        </w:rPr>
      </w:pPr>
      <w:r>
        <w:rPr>
          <w:rFonts w:hint="default" w:ascii="Times New Roman" w:hAnsi="Times New Roman" w:eastAsia="仿宋" w:cs="Times New Roman"/>
          <w:b/>
          <w:bCs/>
          <w:color w:val="auto"/>
          <w:kern w:val="0"/>
          <w:sz w:val="32"/>
          <w:szCs w:val="32"/>
          <w:lang w:val="en" w:eastAsia="zh-CN"/>
        </w:rPr>
        <w:t>第十六条</w:t>
      </w:r>
      <w:r>
        <w:rPr>
          <w:rFonts w:hint="default" w:ascii="Times New Roman" w:hAnsi="Times New Roman" w:eastAsia="仿宋" w:cs="Times New Roman"/>
          <w:b/>
          <w:bCs/>
          <w:color w:val="auto"/>
          <w:kern w:val="0"/>
          <w:sz w:val="32"/>
          <w:szCs w:val="32"/>
          <w:lang w:val="en-US" w:eastAsia="zh-CN"/>
        </w:rPr>
        <w:t xml:space="preserve">  </w:t>
      </w:r>
      <w:r>
        <w:rPr>
          <w:rFonts w:hint="default" w:ascii="Times New Roman" w:hAnsi="Times New Roman" w:eastAsia="仿宋" w:cs="Times New Roman"/>
          <w:color w:val="auto"/>
          <w:kern w:val="0"/>
          <w:sz w:val="32"/>
          <w:szCs w:val="32"/>
          <w:lang w:val="en"/>
        </w:rPr>
        <w:t>绩效自评内容主要包括预算执行情况、绩效目标及各项绩效指标完成情况。自评采用百分制，应按照财政部门规定的评价方法、评价程序实施</w:t>
      </w:r>
      <w:r>
        <w:rPr>
          <w:rFonts w:hint="default" w:ascii="Times New Roman" w:hAnsi="Times New Roman" w:eastAsia="仿宋" w:cs="Times New Roman"/>
          <w:color w:val="auto"/>
          <w:kern w:val="0"/>
          <w:sz w:val="32"/>
          <w:szCs w:val="32"/>
          <w:lang w:val="en" w:eastAsia="zh-CN"/>
        </w:rPr>
        <w:t>，</w:t>
      </w:r>
      <w:r>
        <w:rPr>
          <w:rFonts w:hint="default" w:ascii="Times New Roman" w:hAnsi="Times New Roman" w:eastAsia="仿宋" w:cs="Times New Roman"/>
          <w:color w:val="auto"/>
          <w:kern w:val="0"/>
          <w:sz w:val="32"/>
          <w:szCs w:val="32"/>
          <w:lang w:val="en"/>
        </w:rPr>
        <w:t>按财政管理工作的有关要求和指标的重要性原则设置权重。自评结果应做到内容完整、权重合理、数据真实、结果客观。</w:t>
      </w:r>
    </w:p>
    <w:p>
      <w:pPr>
        <w:pStyle w:val="21"/>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b/>
          <w:bCs/>
          <w:color w:val="auto"/>
          <w:kern w:val="0"/>
          <w:sz w:val="32"/>
          <w:szCs w:val="32"/>
          <w:lang w:val="en" w:eastAsia="zh-CN"/>
        </w:rPr>
        <w:t>第十七条</w:t>
      </w:r>
      <w:r>
        <w:rPr>
          <w:rFonts w:hint="default" w:ascii="Times New Roman" w:hAnsi="Times New Roman" w:eastAsia="仿宋" w:cs="Times New Roman"/>
          <w:b/>
          <w:bCs/>
          <w:color w:val="auto"/>
          <w:kern w:val="0"/>
          <w:sz w:val="32"/>
          <w:szCs w:val="32"/>
          <w:lang w:val="en-US" w:eastAsia="zh-CN"/>
        </w:rPr>
        <w:t xml:space="preserve">  </w:t>
      </w:r>
      <w:r>
        <w:rPr>
          <w:rFonts w:hint="default" w:ascii="Times New Roman" w:hAnsi="Times New Roman" w:eastAsia="仿宋" w:cs="Times New Roman"/>
          <w:color w:val="auto"/>
          <w:kern w:val="0"/>
          <w:sz w:val="32"/>
          <w:szCs w:val="32"/>
          <w:lang w:val="en"/>
        </w:rPr>
        <w:t>各科室对其实施</w:t>
      </w:r>
      <w:r>
        <w:rPr>
          <w:rFonts w:hint="default" w:ascii="Times New Roman" w:hAnsi="Times New Roman" w:eastAsia="仿宋" w:cs="Times New Roman"/>
          <w:color w:val="auto"/>
          <w:kern w:val="0"/>
          <w:sz w:val="32"/>
          <w:szCs w:val="32"/>
          <w:lang w:val="en" w:eastAsia="zh-CN"/>
        </w:rPr>
        <w:t>的</w:t>
      </w:r>
      <w:r>
        <w:rPr>
          <w:rFonts w:hint="default" w:ascii="Times New Roman" w:hAnsi="Times New Roman" w:eastAsia="仿宋" w:cs="Times New Roman"/>
          <w:color w:val="auto"/>
          <w:kern w:val="0"/>
          <w:sz w:val="32"/>
          <w:szCs w:val="32"/>
          <w:lang w:val="en"/>
        </w:rPr>
        <w:t>项目支出绩效进行自评价</w:t>
      </w:r>
      <w:r>
        <w:rPr>
          <w:rFonts w:hint="default" w:ascii="Times New Roman" w:hAnsi="Times New Roman" w:eastAsia="仿宋" w:cs="Times New Roman"/>
          <w:color w:val="auto"/>
          <w:kern w:val="0"/>
          <w:sz w:val="32"/>
          <w:szCs w:val="32"/>
          <w:lang w:val="en" w:eastAsia="zh-CN"/>
        </w:rPr>
        <w:t>。</w:t>
      </w:r>
      <w:r>
        <w:rPr>
          <w:rFonts w:hint="default" w:ascii="Times New Roman" w:hAnsi="Times New Roman" w:eastAsia="仿宋" w:cs="Times New Roman"/>
          <w:color w:val="auto"/>
          <w:kern w:val="0"/>
          <w:sz w:val="32"/>
          <w:szCs w:val="32"/>
          <w:lang w:val="en"/>
        </w:rPr>
        <w:t>对预算执行率偏低</w:t>
      </w:r>
      <w:r>
        <w:rPr>
          <w:rFonts w:hint="default" w:ascii="Times New Roman" w:hAnsi="Times New Roman" w:eastAsia="仿宋" w:cs="Times New Roman"/>
          <w:color w:val="auto"/>
          <w:kern w:val="0"/>
          <w:sz w:val="32"/>
          <w:szCs w:val="32"/>
          <w:lang w:val="en" w:eastAsia="zh-CN"/>
        </w:rPr>
        <w:t>，</w:t>
      </w:r>
      <w:r>
        <w:rPr>
          <w:rFonts w:hint="default" w:ascii="Times New Roman" w:hAnsi="Times New Roman" w:eastAsia="仿宋" w:cs="Times New Roman"/>
          <w:color w:val="auto"/>
          <w:kern w:val="0"/>
          <w:sz w:val="32"/>
          <w:szCs w:val="32"/>
          <w:lang w:val="en"/>
        </w:rPr>
        <w:t>未完成绩效目标或偏离绩效目标较大</w:t>
      </w:r>
      <w:r>
        <w:rPr>
          <w:rFonts w:hint="default" w:ascii="Times New Roman" w:hAnsi="Times New Roman" w:eastAsia="仿宋" w:cs="Times New Roman"/>
          <w:color w:val="auto"/>
          <w:kern w:val="0"/>
          <w:sz w:val="32"/>
          <w:szCs w:val="32"/>
          <w:lang w:val="en" w:eastAsia="zh-CN"/>
        </w:rPr>
        <w:t>，</w:t>
      </w:r>
      <w:r>
        <w:rPr>
          <w:rFonts w:hint="default" w:ascii="Times New Roman" w:hAnsi="Times New Roman" w:eastAsia="仿宋" w:cs="Times New Roman"/>
          <w:color w:val="auto"/>
          <w:kern w:val="0"/>
          <w:sz w:val="32"/>
          <w:szCs w:val="32"/>
          <w:lang w:val="en"/>
        </w:rPr>
        <w:t>自评结果较差的项目要分析并说明原因，研究提出整改措施。</w:t>
      </w:r>
      <w:r>
        <w:rPr>
          <w:rFonts w:hint="default" w:ascii="Times New Roman" w:hAnsi="Times New Roman" w:eastAsia="仿宋" w:cs="Times New Roman"/>
          <w:color w:val="auto"/>
          <w:kern w:val="0"/>
          <w:sz w:val="32"/>
          <w:szCs w:val="32"/>
          <w:lang w:val="en" w:eastAsia="zh-CN"/>
        </w:rPr>
        <w:t>办公室</w:t>
      </w:r>
      <w:r>
        <w:rPr>
          <w:rFonts w:hint="default" w:ascii="Times New Roman" w:hAnsi="Times New Roman" w:eastAsia="仿宋" w:cs="Times New Roman"/>
          <w:color w:val="auto"/>
          <w:kern w:val="0"/>
          <w:sz w:val="32"/>
          <w:szCs w:val="32"/>
          <w:lang w:val="en"/>
        </w:rPr>
        <w:t>要督促各科室实施自评价，</w:t>
      </w:r>
      <w:r>
        <w:rPr>
          <w:rFonts w:hint="default" w:ascii="Times New Roman" w:hAnsi="Times New Roman" w:eastAsia="仿宋" w:cs="Times New Roman"/>
          <w:color w:val="auto"/>
          <w:kern w:val="0"/>
          <w:sz w:val="32"/>
          <w:szCs w:val="32"/>
          <w:lang w:val="en" w:eastAsia="zh-CN"/>
        </w:rPr>
        <w:t>并</w:t>
      </w:r>
      <w:r>
        <w:rPr>
          <w:rFonts w:hint="default" w:ascii="Times New Roman" w:hAnsi="Times New Roman" w:eastAsia="仿宋" w:cs="Times New Roman"/>
          <w:color w:val="auto"/>
          <w:kern w:val="0"/>
          <w:sz w:val="32"/>
          <w:szCs w:val="32"/>
          <w:lang w:val="en"/>
        </w:rPr>
        <w:t>对部门整体支出绩效进行自评价。</w:t>
      </w:r>
    </w:p>
    <w:p>
      <w:pPr>
        <w:pStyle w:val="21"/>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b/>
          <w:bCs/>
          <w:color w:val="auto"/>
          <w:kern w:val="0"/>
          <w:sz w:val="32"/>
          <w:szCs w:val="32"/>
          <w:lang w:val="en" w:eastAsia="zh-CN"/>
        </w:rPr>
        <w:t>第十八条</w:t>
      </w:r>
      <w:r>
        <w:rPr>
          <w:rFonts w:hint="default" w:ascii="Times New Roman" w:hAnsi="Times New Roman" w:eastAsia="仿宋" w:cs="Times New Roman"/>
          <w:b/>
          <w:bCs/>
          <w:color w:val="auto"/>
          <w:kern w:val="0"/>
          <w:sz w:val="32"/>
          <w:szCs w:val="32"/>
          <w:lang w:val="en-US" w:eastAsia="zh-CN"/>
        </w:rPr>
        <w:t xml:space="preserve">  </w:t>
      </w:r>
      <w:r>
        <w:rPr>
          <w:rFonts w:hint="default" w:ascii="Times New Roman" w:hAnsi="Times New Roman" w:eastAsia="仿宋" w:cs="Times New Roman"/>
          <w:color w:val="auto"/>
          <w:kern w:val="0"/>
          <w:sz w:val="32"/>
          <w:szCs w:val="32"/>
        </w:rPr>
        <w:t>绩效</w:t>
      </w:r>
      <w:r>
        <w:rPr>
          <w:rFonts w:hint="default" w:ascii="Times New Roman" w:hAnsi="Times New Roman" w:eastAsia="仿宋" w:cs="Times New Roman"/>
          <w:color w:val="auto"/>
          <w:kern w:val="0"/>
          <w:sz w:val="32"/>
          <w:szCs w:val="32"/>
          <w:lang w:val="en"/>
        </w:rPr>
        <w:t>评价结果作为下一年度预算安排的重要参考依据。对于绩效评价中发现的问题，应深入分析问题根源，并及时落实整改。</w:t>
      </w:r>
    </w:p>
    <w:p>
      <w:pPr>
        <w:pStyle w:val="6"/>
        <w:keepNext w:val="0"/>
        <w:keepLines w:val="0"/>
        <w:pageBreakBefore w:val="0"/>
        <w:kinsoku/>
        <w:wordWrap/>
        <w:overflowPunct/>
        <w:topLinePunct w:val="0"/>
        <w:autoSpaceDE/>
        <w:autoSpaceDN/>
        <w:bidi w:val="0"/>
        <w:spacing w:line="580" w:lineRule="exact"/>
        <w:ind w:firstLine="643" w:firstLineChars="200"/>
        <w:jc w:val="both"/>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b/>
          <w:bCs/>
          <w:color w:val="auto"/>
          <w:kern w:val="0"/>
          <w:sz w:val="32"/>
          <w:szCs w:val="32"/>
          <w:lang w:val="en" w:eastAsia="zh-CN"/>
        </w:rPr>
        <w:t>第十九条</w:t>
      </w:r>
      <w:r>
        <w:rPr>
          <w:rFonts w:hint="default" w:ascii="Times New Roman" w:hAnsi="Times New Roman" w:eastAsia="仿宋" w:cs="Times New Roman"/>
          <w:b/>
          <w:bCs/>
          <w:color w:val="auto"/>
          <w:kern w:val="0"/>
          <w:sz w:val="32"/>
          <w:szCs w:val="32"/>
          <w:lang w:val="en-US" w:eastAsia="zh-CN"/>
        </w:rPr>
        <w:t xml:space="preserve">  </w:t>
      </w:r>
      <w:r>
        <w:rPr>
          <w:rFonts w:hint="default" w:ascii="Times New Roman" w:hAnsi="Times New Roman" w:eastAsia="仿宋" w:cs="Times New Roman"/>
          <w:color w:val="auto"/>
          <w:kern w:val="0"/>
          <w:sz w:val="32"/>
          <w:szCs w:val="32"/>
          <w:lang w:val="en" w:eastAsia="zh-CN" w:bidi="ar-SA"/>
        </w:rPr>
        <w:t>办公室应随同部门决算或按照财政部门通知，向区财政部门报送绩效自评价与部门重点评价结果。绩效评价分为自评价和重点评价两种方式。</w:t>
      </w:r>
    </w:p>
    <w:p>
      <w:pPr>
        <w:pStyle w:val="5"/>
        <w:keepNext w:val="0"/>
        <w:keepLines w:val="0"/>
        <w:pageBreakBefore w:val="0"/>
        <w:widowControl w:val="0"/>
        <w:kinsoku/>
        <w:wordWrap/>
        <w:overflowPunct/>
        <w:topLinePunct w:val="0"/>
        <w:autoSpaceDE/>
        <w:autoSpaceDN/>
        <w:bidi w:val="0"/>
        <w:adjustRightInd/>
        <w:snapToGrid w:val="0"/>
        <w:spacing w:before="157" w:beforeLines="50" w:after="0" w:line="580" w:lineRule="exact"/>
        <w:jc w:val="center"/>
        <w:textAlignment w:val="auto"/>
        <w:rPr>
          <w:rFonts w:hint="default" w:ascii="Times New Roman" w:hAnsi="Times New Roman" w:eastAsia="黑体" w:cs="Times New Roman"/>
          <w:b w:val="0"/>
          <w:bCs w:val="0"/>
          <w:color w:val="auto"/>
          <w:sz w:val="32"/>
          <w:szCs w:val="32"/>
          <w:lang w:val="en"/>
        </w:rPr>
      </w:pPr>
      <w:r>
        <w:rPr>
          <w:rFonts w:hint="default" w:ascii="Times New Roman" w:hAnsi="Times New Roman" w:eastAsia="黑体" w:cs="Times New Roman"/>
          <w:b w:val="0"/>
          <w:bCs w:val="0"/>
          <w:color w:val="auto"/>
          <w:sz w:val="32"/>
          <w:szCs w:val="32"/>
        </w:rPr>
        <w:t>第六章  成本预算绩效管理</w:t>
      </w:r>
    </w:p>
    <w:p>
      <w:pPr>
        <w:pStyle w:val="6"/>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default" w:ascii="Times New Roman" w:hAnsi="Times New Roman" w:eastAsia="仿宋" w:cs="Times New Roman"/>
          <w:color w:val="auto"/>
          <w:kern w:val="0"/>
          <w:sz w:val="32"/>
          <w:szCs w:val="32"/>
          <w:lang w:val="en" w:eastAsia="zh-CN" w:bidi="ar-SA"/>
        </w:rPr>
      </w:pPr>
      <w:r>
        <w:rPr>
          <w:rFonts w:hint="default" w:ascii="Times New Roman" w:hAnsi="Times New Roman" w:eastAsia="仿宋" w:cs="Times New Roman"/>
          <w:b/>
          <w:bCs/>
          <w:color w:val="auto"/>
          <w:kern w:val="0"/>
          <w:sz w:val="32"/>
          <w:szCs w:val="32"/>
          <w:lang w:val="en" w:eastAsia="zh-CN" w:bidi="ar-SA"/>
        </w:rPr>
        <w:t>第二十条</w:t>
      </w:r>
      <w:r>
        <w:rPr>
          <w:rFonts w:hint="default" w:ascii="Times New Roman" w:hAnsi="Times New Roman" w:eastAsia="仿宋" w:cs="Times New Roman"/>
          <w:b/>
          <w:bCs/>
          <w:color w:val="auto"/>
          <w:kern w:val="0"/>
          <w:sz w:val="32"/>
          <w:szCs w:val="32"/>
          <w:lang w:val="en-US" w:eastAsia="zh-CN" w:bidi="ar-SA"/>
        </w:rPr>
        <w:t xml:space="preserve">  </w:t>
      </w:r>
      <w:r>
        <w:rPr>
          <w:rFonts w:hint="default" w:ascii="Times New Roman" w:hAnsi="Times New Roman" w:eastAsia="仿宋" w:cs="Times New Roman"/>
          <w:color w:val="auto"/>
          <w:kern w:val="0"/>
          <w:sz w:val="32"/>
          <w:szCs w:val="32"/>
          <w:lang w:val="en" w:eastAsia="zh-CN" w:bidi="ar-SA"/>
        </w:rPr>
        <w:t>成本预算绩效管理是全面预算管理的重要组成部分。要做好成本预算绩效管理与预算编制、执行、决算及资产管理等工作的联动推进，逐步构建事前功能评估、成本定期分析、定额动态调整、预算优化安排的管理机制，通过成本预算绩效分析提升资金使用效率，优化财政资金分配。</w:t>
      </w:r>
    </w:p>
    <w:p>
      <w:pPr>
        <w:pStyle w:val="6"/>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default" w:ascii="Times New Roman" w:hAnsi="Times New Roman" w:eastAsia="仿宋" w:cs="Times New Roman"/>
          <w:color w:val="auto"/>
          <w:kern w:val="0"/>
          <w:sz w:val="32"/>
          <w:szCs w:val="32"/>
          <w:lang w:val="en" w:eastAsia="zh-CN" w:bidi="ar-SA"/>
        </w:rPr>
      </w:pPr>
      <w:r>
        <w:rPr>
          <w:rFonts w:hint="default" w:ascii="Times New Roman" w:hAnsi="Times New Roman" w:eastAsia="仿宋" w:cs="Times New Roman"/>
          <w:b/>
          <w:bCs/>
          <w:color w:val="auto"/>
          <w:kern w:val="0"/>
          <w:sz w:val="32"/>
          <w:szCs w:val="32"/>
          <w:lang w:val="en" w:eastAsia="zh-CN" w:bidi="ar-SA"/>
        </w:rPr>
        <w:t>第二十一条</w:t>
      </w:r>
      <w:r>
        <w:rPr>
          <w:rFonts w:hint="default" w:ascii="Times New Roman" w:hAnsi="Times New Roman" w:eastAsia="仿宋" w:cs="Times New Roman"/>
          <w:b/>
          <w:bCs/>
          <w:color w:val="auto"/>
          <w:kern w:val="0"/>
          <w:sz w:val="32"/>
          <w:szCs w:val="32"/>
          <w:lang w:val="en-US" w:eastAsia="zh-CN" w:bidi="ar-SA"/>
        </w:rPr>
        <w:t xml:space="preserve">  </w:t>
      </w:r>
      <w:r>
        <w:rPr>
          <w:rFonts w:hint="default" w:ascii="Times New Roman" w:hAnsi="Times New Roman" w:eastAsia="仿宋" w:cs="Times New Roman"/>
          <w:color w:val="auto"/>
          <w:kern w:val="0"/>
          <w:sz w:val="32"/>
          <w:szCs w:val="32"/>
          <w:lang w:val="en" w:eastAsia="zh-CN" w:bidi="ar-SA"/>
        </w:rPr>
        <w:t>办公室负责协助统筹协调成本预算绩效分析工作，为各科室提供后勤保障并配合与区财政局等外部部门的沟通联络；各科室负责具体实施分析工作，包括</w:t>
      </w:r>
      <w:r>
        <w:rPr>
          <w:rFonts w:hint="eastAsia" w:ascii="Times New Roman" w:hAnsi="Times New Roman" w:eastAsia="仿宋" w:cs="Times New Roman"/>
          <w:color w:val="auto"/>
          <w:kern w:val="0"/>
          <w:sz w:val="32"/>
          <w:szCs w:val="32"/>
          <w:lang w:val="en" w:eastAsia="zh-CN" w:bidi="ar-SA"/>
        </w:rPr>
        <w:t>制定</w:t>
      </w:r>
      <w:r>
        <w:rPr>
          <w:rFonts w:hint="default" w:ascii="Times New Roman" w:hAnsi="Times New Roman" w:eastAsia="仿宋" w:cs="Times New Roman"/>
          <w:color w:val="auto"/>
          <w:kern w:val="0"/>
          <w:sz w:val="32"/>
          <w:szCs w:val="32"/>
          <w:lang w:val="en" w:eastAsia="zh-CN" w:bidi="ar-SA"/>
        </w:rPr>
        <w:t>计划、细化目标、推进进度、形成初稿、报送成果，主动邀请相关方参与论证，加强对委托第三方项目的质量控制等工作。</w:t>
      </w:r>
    </w:p>
    <w:p>
      <w:pPr>
        <w:pStyle w:val="5"/>
        <w:keepNext w:val="0"/>
        <w:keepLines w:val="0"/>
        <w:pageBreakBefore w:val="0"/>
        <w:widowControl w:val="0"/>
        <w:kinsoku/>
        <w:wordWrap/>
        <w:overflowPunct/>
        <w:topLinePunct w:val="0"/>
        <w:autoSpaceDE/>
        <w:autoSpaceDN/>
        <w:bidi w:val="0"/>
        <w:adjustRightInd/>
        <w:snapToGrid w:val="0"/>
        <w:spacing w:before="157" w:beforeLines="50" w:after="0" w:line="600" w:lineRule="exact"/>
        <w:jc w:val="center"/>
        <w:textAlignment w:val="auto"/>
        <w:rPr>
          <w:rFonts w:hint="default" w:ascii="Times New Roman" w:hAnsi="Times New Roman" w:eastAsia="黑体" w:cs="Times New Roman"/>
          <w:b w:val="0"/>
          <w:bCs w:val="0"/>
          <w:color w:val="auto"/>
          <w:sz w:val="32"/>
          <w:szCs w:val="32"/>
          <w:lang w:val="en"/>
        </w:rPr>
      </w:pPr>
      <w:r>
        <w:rPr>
          <w:rFonts w:hint="default" w:ascii="Times New Roman" w:hAnsi="Times New Roman" w:eastAsia="黑体" w:cs="Times New Roman"/>
          <w:b w:val="0"/>
          <w:bCs w:val="0"/>
          <w:color w:val="auto"/>
          <w:sz w:val="32"/>
          <w:szCs w:val="32"/>
        </w:rPr>
        <w:t>第</w:t>
      </w:r>
      <w:r>
        <w:rPr>
          <w:rFonts w:hint="default" w:ascii="Times New Roman" w:hAnsi="Times New Roman" w:eastAsia="黑体" w:cs="Times New Roman"/>
          <w:b w:val="0"/>
          <w:bCs w:val="0"/>
          <w:color w:val="auto"/>
          <w:sz w:val="32"/>
          <w:szCs w:val="32"/>
          <w:lang w:eastAsia="zh-CN"/>
        </w:rPr>
        <w:t>七</w:t>
      </w:r>
      <w:r>
        <w:rPr>
          <w:rFonts w:hint="default" w:ascii="Times New Roman" w:hAnsi="Times New Roman" w:eastAsia="黑体" w:cs="Times New Roman"/>
          <w:b w:val="0"/>
          <w:bCs w:val="0"/>
          <w:color w:val="auto"/>
          <w:sz w:val="32"/>
          <w:szCs w:val="32"/>
        </w:rPr>
        <w:t>章  绩效信息公开</w:t>
      </w:r>
    </w:p>
    <w:p>
      <w:pPr>
        <w:pStyle w:val="6"/>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default" w:ascii="Times New Roman" w:hAnsi="Times New Roman" w:eastAsia="仿宋" w:cs="Times New Roman"/>
          <w:color w:val="auto"/>
          <w:kern w:val="0"/>
          <w:sz w:val="32"/>
          <w:szCs w:val="32"/>
          <w:lang w:val="en"/>
        </w:rPr>
      </w:pPr>
      <w:r>
        <w:rPr>
          <w:rFonts w:hint="default" w:ascii="Times New Roman" w:hAnsi="Times New Roman" w:eastAsia="仿宋" w:cs="Times New Roman"/>
          <w:b/>
          <w:bCs/>
          <w:color w:val="auto"/>
          <w:kern w:val="0"/>
          <w:sz w:val="32"/>
          <w:szCs w:val="32"/>
          <w:lang w:val="en" w:eastAsia="zh-CN" w:bidi="ar-SA"/>
        </w:rPr>
        <w:t>第二十二条</w:t>
      </w:r>
      <w:r>
        <w:rPr>
          <w:rFonts w:hint="default" w:ascii="Times New Roman" w:hAnsi="Times New Roman" w:eastAsia="仿宋" w:cs="Times New Roman"/>
          <w:b/>
          <w:bCs/>
          <w:color w:val="auto"/>
          <w:kern w:val="0"/>
          <w:sz w:val="32"/>
          <w:szCs w:val="32"/>
          <w:lang w:val="en-US" w:eastAsia="zh-CN" w:bidi="ar-SA"/>
        </w:rPr>
        <w:t xml:space="preserve">  </w:t>
      </w:r>
      <w:r>
        <w:rPr>
          <w:rFonts w:hint="default" w:ascii="Times New Roman" w:hAnsi="Times New Roman" w:eastAsia="仿宋" w:cs="Times New Roman"/>
          <w:color w:val="auto"/>
          <w:kern w:val="0"/>
          <w:sz w:val="32"/>
          <w:szCs w:val="32"/>
          <w:lang w:val="en" w:eastAsia="zh-CN" w:bidi="ar-SA"/>
        </w:rPr>
        <w:t>办公室应按照政府信息公开的有关规定将项目绩效管理相关信息予以公开。</w:t>
      </w:r>
    </w:p>
    <w:p>
      <w:pPr>
        <w:pStyle w:val="5"/>
        <w:keepNext w:val="0"/>
        <w:keepLines w:val="0"/>
        <w:pageBreakBefore w:val="0"/>
        <w:widowControl w:val="0"/>
        <w:kinsoku/>
        <w:wordWrap/>
        <w:overflowPunct/>
        <w:topLinePunct w:val="0"/>
        <w:autoSpaceDE/>
        <w:autoSpaceDN/>
        <w:bidi w:val="0"/>
        <w:adjustRightInd/>
        <w:snapToGrid w:val="0"/>
        <w:spacing w:before="157" w:beforeLines="50" w:after="0" w:line="580" w:lineRule="exact"/>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w:t>
      </w:r>
      <w:r>
        <w:rPr>
          <w:rFonts w:hint="default" w:ascii="Times New Roman" w:hAnsi="Times New Roman" w:eastAsia="黑体" w:cs="Times New Roman"/>
          <w:b w:val="0"/>
          <w:bCs w:val="0"/>
          <w:color w:val="auto"/>
          <w:sz w:val="32"/>
          <w:szCs w:val="32"/>
          <w:lang w:eastAsia="zh-CN"/>
        </w:rPr>
        <w:t>八</w:t>
      </w:r>
      <w:r>
        <w:rPr>
          <w:rFonts w:hint="default" w:ascii="Times New Roman" w:hAnsi="Times New Roman" w:eastAsia="黑体" w:cs="Times New Roman"/>
          <w:b w:val="0"/>
          <w:bCs w:val="0"/>
          <w:color w:val="auto"/>
          <w:sz w:val="32"/>
          <w:szCs w:val="32"/>
        </w:rPr>
        <w:t>章  附</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则</w:t>
      </w:r>
    </w:p>
    <w:p>
      <w:pPr>
        <w:pStyle w:val="21"/>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 w:cs="Times New Roman"/>
          <w:color w:val="auto"/>
          <w:kern w:val="0"/>
          <w:sz w:val="32"/>
          <w:szCs w:val="32"/>
          <w:lang w:val="en" w:eastAsia="zh-CN"/>
        </w:rPr>
      </w:pPr>
      <w:r>
        <w:rPr>
          <w:rFonts w:hint="default" w:ascii="Times New Roman" w:hAnsi="Times New Roman" w:eastAsia="仿宋" w:cs="Times New Roman"/>
          <w:b/>
          <w:bCs/>
          <w:color w:val="auto"/>
          <w:kern w:val="0"/>
          <w:sz w:val="32"/>
          <w:szCs w:val="32"/>
          <w:lang w:val="en" w:eastAsia="zh-CN"/>
        </w:rPr>
        <w:t>第二十三条</w:t>
      </w:r>
      <w:r>
        <w:rPr>
          <w:rFonts w:hint="default" w:ascii="Times New Roman" w:hAnsi="Times New Roman" w:eastAsia="仿宋" w:cs="Times New Roman"/>
          <w:b/>
          <w:bCs/>
          <w:color w:val="auto"/>
          <w:kern w:val="0"/>
          <w:sz w:val="32"/>
          <w:szCs w:val="32"/>
          <w:lang w:val="en-US" w:eastAsia="zh-CN"/>
        </w:rPr>
        <w:t xml:space="preserve">  </w:t>
      </w:r>
      <w:r>
        <w:rPr>
          <w:rFonts w:hint="default" w:ascii="Times New Roman" w:hAnsi="Times New Roman" w:eastAsia="仿宋" w:cs="Times New Roman"/>
          <w:color w:val="auto"/>
          <w:kern w:val="0"/>
          <w:sz w:val="32"/>
          <w:szCs w:val="32"/>
          <w:lang w:val="en" w:eastAsia="zh-CN"/>
        </w:rPr>
        <w:t>本部门要将绩效理念融入内控管理中，逐步养成绩效管理的工作习惯，以保障预算绩效管理工作的顺利开展。</w:t>
      </w:r>
    </w:p>
    <w:p>
      <w:pPr>
        <w:pStyle w:val="21"/>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 w:cs="Times New Roman"/>
          <w:color w:val="auto"/>
          <w:kern w:val="0"/>
          <w:sz w:val="32"/>
          <w:szCs w:val="32"/>
          <w:lang w:val="en" w:eastAsia="zh-CN"/>
        </w:rPr>
      </w:pPr>
      <w:r>
        <w:rPr>
          <w:rFonts w:hint="default" w:ascii="Times New Roman" w:hAnsi="Times New Roman" w:eastAsia="仿宋" w:cs="Times New Roman"/>
          <w:b/>
          <w:bCs/>
          <w:color w:val="auto"/>
          <w:kern w:val="0"/>
          <w:sz w:val="32"/>
          <w:szCs w:val="32"/>
          <w:lang w:val="en" w:eastAsia="zh-CN"/>
        </w:rPr>
        <w:t>第二十四条</w:t>
      </w:r>
      <w:r>
        <w:rPr>
          <w:rFonts w:hint="default" w:ascii="Times New Roman" w:hAnsi="Times New Roman" w:eastAsia="仿宋" w:cs="Times New Roman"/>
          <w:b/>
          <w:bCs/>
          <w:color w:val="auto"/>
          <w:kern w:val="0"/>
          <w:sz w:val="32"/>
          <w:szCs w:val="32"/>
          <w:lang w:val="en-US" w:eastAsia="zh-CN"/>
        </w:rPr>
        <w:t xml:space="preserve">  </w:t>
      </w:r>
      <w:r>
        <w:rPr>
          <w:rFonts w:hint="default" w:ascii="Times New Roman" w:hAnsi="Times New Roman" w:eastAsia="仿宋" w:cs="Times New Roman"/>
          <w:color w:val="auto"/>
          <w:kern w:val="0"/>
          <w:sz w:val="32"/>
          <w:szCs w:val="32"/>
          <w:lang w:val="en" w:eastAsia="zh-CN"/>
        </w:rPr>
        <w:t>随着预算绩效管理要求的不断提高，预算管理制度的不断健全，对本工作制度未尽或需补充、完善、细化等事宜，本部门今后将根据实际情况予以补充。</w:t>
      </w:r>
    </w:p>
    <w:p>
      <w:pPr>
        <w:pStyle w:val="21"/>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 w:cs="Times New Roman"/>
          <w:color w:val="auto"/>
          <w:kern w:val="0"/>
          <w:sz w:val="32"/>
          <w:szCs w:val="32"/>
          <w:lang w:val="en-US" w:eastAsia="zh-CN"/>
        </w:rPr>
      </w:pPr>
      <w:r>
        <w:rPr>
          <w:rFonts w:hint="default" w:ascii="Times New Roman" w:hAnsi="Times New Roman" w:eastAsia="仿宋" w:cs="Times New Roman"/>
          <w:b/>
          <w:bCs/>
          <w:color w:val="auto"/>
          <w:kern w:val="0"/>
          <w:sz w:val="32"/>
          <w:szCs w:val="32"/>
          <w:lang w:val="en" w:eastAsia="zh-CN"/>
        </w:rPr>
        <w:t>第二十五条</w:t>
      </w:r>
      <w:r>
        <w:rPr>
          <w:rFonts w:hint="default" w:ascii="Times New Roman" w:hAnsi="Times New Roman" w:eastAsia="仿宋" w:cs="Times New Roman"/>
          <w:b/>
          <w:bCs/>
          <w:color w:val="auto"/>
          <w:kern w:val="0"/>
          <w:sz w:val="32"/>
          <w:szCs w:val="32"/>
          <w:lang w:val="en-US" w:eastAsia="zh-CN"/>
        </w:rPr>
        <w:t xml:space="preserve">  </w:t>
      </w:r>
      <w:r>
        <w:rPr>
          <w:rFonts w:hint="default" w:ascii="Times New Roman" w:hAnsi="Times New Roman" w:eastAsia="仿宋" w:cs="Times New Roman"/>
          <w:color w:val="auto"/>
          <w:kern w:val="0"/>
          <w:sz w:val="32"/>
          <w:szCs w:val="32"/>
          <w:lang w:val="en"/>
        </w:rPr>
        <w:t>本办法自发布之日起执行。下属事业单位可结合实际，参照执行。</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481" w:rightChars="-229" w:firstLine="0" w:firstLine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tbl>
      <w:tblPr>
        <w:tblStyle w:val="15"/>
        <w:tblW w:w="9231" w:type="dxa"/>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231"/>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35" w:hRule="atLeast"/>
        </w:trPr>
        <w:tc>
          <w:tcPr>
            <w:tcW w:w="9231" w:type="dxa"/>
            <w:noWrap w:val="0"/>
            <w:vAlign w:val="center"/>
          </w:tcPr>
          <w:p>
            <w:pPr>
              <w:ind w:left="210" w:leftChars="100" w:right="210" w:rightChars="100"/>
              <w:jc w:val="center"/>
              <w:rPr>
                <w:rFonts w:hint="default" w:ascii="Times New Roman" w:hAnsi="Times New Roman" w:eastAsia="仿宋_GB2312" w:cs="Times New Roman"/>
                <w:b/>
                <w:color w:val="FF0000"/>
                <w:sz w:val="28"/>
                <w:szCs w:val="28"/>
              </w:rPr>
            </w:pPr>
            <w:r>
              <w:rPr>
                <w:rFonts w:hint="default" w:ascii="Times New Roman" w:hAnsi="Times New Roman" w:eastAsia="仿宋_GB2312" w:cs="Times New Roman"/>
                <w:sz w:val="28"/>
                <w:szCs w:val="28"/>
              </w:rPr>
              <w:t xml:space="preserve">上海市嘉定区国资委办公室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25</w:t>
            </w:r>
            <w:r>
              <w:rPr>
                <w:rFonts w:hint="default" w:ascii="Times New Roman" w:hAnsi="Times New Roman" w:eastAsia="仿宋_GB2312" w:cs="Times New Roman"/>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jc w:val="right"/>
        <w:textAlignment w:val="auto"/>
        <w:outlineLvl w:val="0"/>
        <w:rPr>
          <w:rFonts w:hint="default" w:ascii="Times New Roman" w:hAnsi="Times New Roman" w:eastAsia="仿宋_GB2312" w:cs="Times New Roman"/>
          <w:sz w:val="32"/>
          <w:szCs w:val="32"/>
        </w:rPr>
      </w:pPr>
    </w:p>
    <w:sectPr>
      <w:headerReference r:id="rId3" w:type="default"/>
      <w:footerReference r:id="rId5" w:type="default"/>
      <w:headerReference r:id="rId4" w:type="even"/>
      <w:footerReference r:id="rId6" w:type="even"/>
      <w:pgSz w:w="11906" w:h="16838"/>
      <w:pgMar w:top="2154" w:right="1474" w:bottom="1984" w:left="1531" w:header="851" w:footer="1304"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altName w:val="方正魏碑_GBK"/>
    <w:panose1 w:val="02010800040101010101"/>
    <w:charset w:val="00"/>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8901"/>
        <w:tab w:val="clear" w:pos="4153"/>
      </w:tabs>
    </w:pPr>
    <w:r>
      <mc:AlternateContent>
        <mc:Choice Requires="wps">
          <w:drawing>
            <wp:anchor distT="0" distB="0" distL="114300" distR="114300" simplePos="0" relativeHeight="251658240" behindDoc="0" locked="0" layoutInCell="1" allowOverlap="1">
              <wp:simplePos x="0" y="0"/>
              <wp:positionH relativeFrom="margin">
                <wp:posOffset>5007610</wp:posOffset>
              </wp:positionH>
              <wp:positionV relativeFrom="paragraph">
                <wp:posOffset>0</wp:posOffset>
              </wp:positionV>
              <wp:extent cx="644525" cy="371475"/>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644525" cy="371475"/>
                      </a:xfrm>
                      <a:prstGeom prst="rect">
                        <a:avLst/>
                      </a:prstGeom>
                      <a:noFill/>
                      <a:ln w="9525">
                        <a:noFill/>
                      </a:ln>
                    </wps:spPr>
                    <wps:txbx>
                      <w:txbxContent>
                        <w:p>
                          <w:pPr>
                            <w:pStyle w:val="10"/>
                          </w:pPr>
                          <w:r>
                            <w:rPr>
                              <w:rFonts w:hint="eastAsia" w:ascii="宋体" w:hAnsi="宋体"/>
                              <w:color w:val="000000"/>
                              <w:sz w:val="28"/>
                              <w:szCs w:val="28"/>
                            </w:rPr>
                            <w:fldChar w:fldCharType="begin"/>
                          </w:r>
                          <w:r>
                            <w:rPr>
                              <w:rFonts w:hint="eastAsia"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rPr>
                            <w:t>-</w:t>
                          </w:r>
                          <w:r>
                            <w:rPr>
                              <w:rFonts w:ascii="宋体" w:hAnsi="宋体"/>
                              <w:color w:val="000000"/>
                              <w:sz w:val="28"/>
                              <w:szCs w:val="28"/>
                            </w:rPr>
                            <w:t xml:space="preserve"> 5 -</w:t>
                          </w:r>
                          <w:r>
                            <w:rPr>
                              <w:rFonts w:hint="eastAsia" w:ascii="宋体" w:hAnsi="宋体"/>
                              <w:color w:val="000000"/>
                              <w:sz w:val="28"/>
                              <w:szCs w:val="28"/>
                            </w:rPr>
                            <w:fldChar w:fldCharType="end"/>
                          </w:r>
                        </w:p>
                        <w:p>
                          <w:pPr>
                            <w:pStyle w:val="10"/>
                            <w:rPr>
                              <w:rStyle w:val="18"/>
                            </w:rPr>
                          </w:pPr>
                        </w:p>
                      </w:txbxContent>
                    </wps:txbx>
                    <wps:bodyPr wrap="square" lIns="0" tIns="0" rIns="0" bIns="0" upright="false">
                      <a:noAutofit/>
                    </wps:bodyPr>
                  </wps:wsp>
                </a:graphicData>
              </a:graphic>
            </wp:anchor>
          </w:drawing>
        </mc:Choice>
        <mc:Fallback>
          <w:pict>
            <v:shape id="文本框 1" o:spid="_x0000_s1026" o:spt="202" type="#_x0000_t202" style="position:absolute;left:0pt;margin-left:394.3pt;margin-top:0pt;height:29.25pt;width:50.75pt;mso-position-horizontal-relative:margin;z-index:251658240;mso-width-relative:page;mso-height-relative:page;" filled="f" stroked="f" coordsize="21600,21600" o:gfxdata="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OFir/zWAAAABwEAAA8AAAAAAAAAAQAg&#10;AAAAOAAAAGRycy9kb3ducmV2LnhtbFBLAQIUABQAAAAIAIdO4kDVDlr3wQEAAFsDAAAOAAAAAAAA&#10;AAEAIAAAADsBAABkcnMvZTJvRG9jLnhtbFBLBQYAAAAABgAGAFkBAABuBQAAAAA=&#10;">
              <v:fill on="f" focussize="0,0"/>
              <v:stroke on="f"/>
              <v:imagedata o:title=""/>
              <o:lock v:ext="edit" aspectratio="f"/>
              <v:textbox inset="0mm,0mm,0mm,0mm">
                <w:txbxContent>
                  <w:p>
                    <w:pPr>
                      <w:pStyle w:val="10"/>
                    </w:pPr>
                    <w:r>
                      <w:rPr>
                        <w:rFonts w:hint="eastAsia" w:ascii="宋体" w:hAnsi="宋体"/>
                        <w:color w:val="000000"/>
                        <w:sz w:val="28"/>
                        <w:szCs w:val="28"/>
                      </w:rPr>
                      <w:fldChar w:fldCharType="begin"/>
                    </w:r>
                    <w:r>
                      <w:rPr>
                        <w:rFonts w:hint="eastAsia"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rPr>
                      <w:t>-</w:t>
                    </w:r>
                    <w:r>
                      <w:rPr>
                        <w:rFonts w:ascii="宋体" w:hAnsi="宋体"/>
                        <w:color w:val="000000"/>
                        <w:sz w:val="28"/>
                        <w:szCs w:val="28"/>
                      </w:rPr>
                      <w:t xml:space="preserve"> 5 -</w:t>
                    </w:r>
                    <w:r>
                      <w:rPr>
                        <w:rFonts w:hint="eastAsia" w:ascii="宋体" w:hAnsi="宋体"/>
                        <w:color w:val="000000"/>
                        <w:sz w:val="28"/>
                        <w:szCs w:val="28"/>
                      </w:rPr>
                      <w:fldChar w:fldCharType="end"/>
                    </w:r>
                  </w:p>
                  <w:p>
                    <w:pPr>
                      <w:pStyle w:val="10"/>
                      <w:rPr>
                        <w:rStyle w:val="18"/>
                      </w:rPr>
                    </w:pP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0</wp:posOffset>
              </wp:positionV>
              <wp:extent cx="768350" cy="23685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76835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280" w:firstLineChars="100"/>
                          </w:pPr>
                          <w:r>
                            <w:rPr>
                              <w:rFonts w:ascii="宋体" w:hAnsi="宋体"/>
                              <w:color w:val="000000"/>
                              <w:sz w:val="28"/>
                              <w:szCs w:val="28"/>
                            </w:rPr>
                            <w:fldChar w:fldCharType="begin"/>
                          </w:r>
                          <w:r>
                            <w:rPr>
                              <w:rFonts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rPr>
                            <w:t>-</w:t>
                          </w:r>
                          <w:r>
                            <w:rPr>
                              <w:rFonts w:ascii="宋体" w:hAnsi="宋体"/>
                              <w:color w:val="000000"/>
                              <w:sz w:val="28"/>
                              <w:szCs w:val="28"/>
                            </w:rPr>
                            <w:t xml:space="preserve"> 4 -</w:t>
                          </w:r>
                          <w:r>
                            <w:rPr>
                              <w:rFonts w:ascii="宋体" w:hAnsi="宋体"/>
                              <w:color w:val="000000"/>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0pt;margin-top:0pt;height:18.65pt;width:60.5pt;mso-position-horizontal-relative:margin;z-index:251664384;mso-width-relative:page;mso-height-relative:page;" filled="f" stroked="f" coordsize="21600,21600" o:gfxdata="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DEvGaTTAAAABAEAAA8AAAAAAAAAAQAgAAAAOAAAAGRycy9kb3ducmV2LnhtbFBL&#10;AQIUABQAAAAIAIdO4kDV0wZAHgIAACkEAAAOAAAAAAAAAAEAIAAAADgBAABkcnMvZTJvRG9jLnht&#10;bFBLBQYAAAAABgAGAFkBAADIBQAAAAA=&#10;">
              <v:fill on="f" focussize="0,0"/>
              <v:stroke on="f" weight="0.5pt"/>
              <v:imagedata o:title=""/>
              <o:lock v:ext="edit" aspectratio="f"/>
              <v:textbox inset="0mm,0mm,0mm,0mm">
                <w:txbxContent>
                  <w:p>
                    <w:pPr>
                      <w:pStyle w:val="10"/>
                      <w:ind w:firstLine="280" w:firstLineChars="100"/>
                    </w:pPr>
                    <w:r>
                      <w:rPr>
                        <w:rFonts w:ascii="宋体" w:hAnsi="宋体"/>
                        <w:color w:val="000000"/>
                        <w:sz w:val="28"/>
                        <w:szCs w:val="28"/>
                      </w:rPr>
                      <w:fldChar w:fldCharType="begin"/>
                    </w:r>
                    <w:r>
                      <w:rPr>
                        <w:rFonts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rPr>
                      <w:t>-</w:t>
                    </w:r>
                    <w:r>
                      <w:rPr>
                        <w:rFonts w:ascii="宋体" w:hAnsi="宋体"/>
                        <w:color w:val="000000"/>
                        <w:sz w:val="28"/>
                        <w:szCs w:val="28"/>
                      </w:rPr>
                      <w:t xml:space="preserve"> 4 -</w:t>
                    </w:r>
                    <w:r>
                      <w:rPr>
                        <w:rFonts w:ascii="宋体" w:hAnsi="宋体"/>
                        <w:color w:val="000000"/>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56515</wp:posOffset>
              </wp:positionH>
              <wp:positionV relativeFrom="paragraph">
                <wp:posOffset>0</wp:posOffset>
              </wp:positionV>
              <wp:extent cx="332740" cy="140335"/>
              <wp:effectExtent l="0" t="0" r="0" b="0"/>
              <wp:wrapNone/>
              <wp:docPr id="4" name="文本框 2"/>
              <wp:cNvGraphicFramePr/>
              <a:graphic xmlns:a="http://schemas.openxmlformats.org/drawingml/2006/main">
                <a:graphicData uri="http://schemas.microsoft.com/office/word/2010/wordprocessingShape">
                  <wps:wsp>
                    <wps:cNvSpPr txBox="true"/>
                    <wps:spPr>
                      <a:xfrm flipH="true">
                        <a:off x="0" y="0"/>
                        <a:ext cx="332740" cy="140335"/>
                      </a:xfrm>
                      <a:prstGeom prst="rect">
                        <a:avLst/>
                      </a:prstGeom>
                      <a:noFill/>
                      <a:ln w="9525">
                        <a:noFill/>
                      </a:ln>
                    </wps:spPr>
                    <wps:txbx>
                      <w:txbxContent>
                        <w:p>
                          <w:pPr>
                            <w:pStyle w:val="10"/>
                            <w:rPr>
                              <w:rStyle w:val="18"/>
                              <w:rFonts w:hint="eastAsia"/>
                            </w:rPr>
                          </w:pPr>
                          <w:r>
                            <w:rPr>
                              <w:rStyle w:val="18"/>
                              <w:rFonts w:hint="eastAsia"/>
                            </w:rPr>
                            <w:t xml:space="preserve">   </w:t>
                          </w:r>
                        </w:p>
                      </w:txbxContent>
                    </wps:txbx>
                    <wps:bodyPr wrap="square" lIns="0" tIns="0" rIns="0" bIns="0" upright="false"/>
                  </wps:wsp>
                </a:graphicData>
              </a:graphic>
            </wp:anchor>
          </w:drawing>
        </mc:Choice>
        <mc:Fallback>
          <w:pict>
            <v:shape id="文本框 2" o:spid="_x0000_s1026" o:spt="202" type="#_x0000_t202" style="position:absolute;left:0pt;flip:x;margin-left:4.45pt;margin-top:0pt;height:11.05pt;width:26.2pt;mso-position-horizontal-relative:margin;z-index:251659264;mso-width-relative:page;mso-height-relative:page;" filled="f" stroked="f" coordsize="21600,21600" o:gfxdata="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cobKD0wAAAAQBAAAPAAAAAAAAAAEAIAAAADgAAABk&#10;cnMvZG93bnJldi54bWxQSwECFAAUAAAACACHTuJAXw/0G7wBAABOAwAADgAAAAAAAAABACAAAAA4&#10;AQAAZHJzL2Uyb0RvYy54bWxQSwUGAAAAAAYABgBZAQAAZgUAAAAA&#10;">
              <v:fill on="f" focussize="0,0"/>
              <v:stroke on="f"/>
              <v:imagedata o:title=""/>
              <o:lock v:ext="edit" aspectratio="f"/>
              <v:textbox inset="0mm,0mm,0mm,0mm">
                <w:txbxContent>
                  <w:p>
                    <w:pPr>
                      <w:pStyle w:val="10"/>
                      <w:rPr>
                        <w:rStyle w:val="18"/>
                        <w:rFonts w:hint="eastAsia"/>
                      </w:rPr>
                    </w:pPr>
                    <w:r>
                      <w:rPr>
                        <w:rStyle w:val="18"/>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1A636"/>
    <w:multiLevelType w:val="singleLevel"/>
    <w:tmpl w:val="FEF1A636"/>
    <w:lvl w:ilvl="0" w:tentative="0">
      <w:start w:val="1"/>
      <w:numFmt w:val="bullet"/>
      <w:pStyle w:val="4"/>
      <w:lvlText w:val=""/>
      <w:lvlJc w:val="left"/>
      <w:pPr>
        <w:tabs>
          <w:tab w:val="left" w:pos="2040"/>
        </w:tabs>
        <w:ind w:left="2040" w:hanging="360"/>
      </w:pPr>
      <w:rPr>
        <w:rFonts w:hint="default" w:ascii="Wingdings" w:hAnsi="Wingdings"/>
      </w:rPr>
    </w:lvl>
  </w:abstractNum>
  <w:abstractNum w:abstractNumId="1">
    <w:nsid w:val="57D30BA3"/>
    <w:multiLevelType w:val="multilevel"/>
    <w:tmpl w:val="57D30BA3"/>
    <w:lvl w:ilvl="0" w:tentative="0">
      <w:start w:val="1"/>
      <w:numFmt w:val="chineseCountingThousand"/>
      <w:lvlText w:val="第%1条"/>
      <w:lvlJc w:val="left"/>
      <w:pPr>
        <w:ind w:left="2405" w:hanging="420"/>
      </w:pPr>
      <w:rPr>
        <w:rFonts w:hint="default"/>
        <w:b/>
        <w:color w:val="auto"/>
      </w:rPr>
    </w:lvl>
    <w:lvl w:ilvl="1" w:tentative="0">
      <w:start w:val="1"/>
      <w:numFmt w:val="lowerLetter"/>
      <w:lvlText w:val="%2)"/>
      <w:lvlJc w:val="left"/>
      <w:pPr>
        <w:ind w:left="703" w:hanging="420"/>
      </w:pPr>
    </w:lvl>
    <w:lvl w:ilvl="2" w:tentative="0">
      <w:start w:val="1"/>
      <w:numFmt w:val="lowerRoman"/>
      <w:lvlText w:val="%3."/>
      <w:lvlJc w:val="right"/>
      <w:pPr>
        <w:ind w:left="1123" w:hanging="420"/>
      </w:pPr>
    </w:lvl>
    <w:lvl w:ilvl="3" w:tentative="0">
      <w:start w:val="1"/>
      <w:numFmt w:val="decimal"/>
      <w:lvlText w:val="%4."/>
      <w:lvlJc w:val="left"/>
      <w:pPr>
        <w:ind w:left="1543" w:hanging="420"/>
      </w:pPr>
    </w:lvl>
    <w:lvl w:ilvl="4" w:tentative="0">
      <w:start w:val="1"/>
      <w:numFmt w:val="lowerLetter"/>
      <w:lvlText w:val="%5)"/>
      <w:lvlJc w:val="left"/>
      <w:pPr>
        <w:ind w:left="1963" w:hanging="420"/>
      </w:pPr>
    </w:lvl>
    <w:lvl w:ilvl="5" w:tentative="0">
      <w:start w:val="1"/>
      <w:numFmt w:val="lowerRoman"/>
      <w:lvlText w:val="%6."/>
      <w:lvlJc w:val="right"/>
      <w:pPr>
        <w:ind w:left="2383" w:hanging="420"/>
      </w:pPr>
    </w:lvl>
    <w:lvl w:ilvl="6" w:tentative="0">
      <w:start w:val="1"/>
      <w:numFmt w:val="decimal"/>
      <w:lvlText w:val="%7."/>
      <w:lvlJc w:val="left"/>
      <w:pPr>
        <w:ind w:left="2803" w:hanging="420"/>
      </w:pPr>
    </w:lvl>
    <w:lvl w:ilvl="7" w:tentative="0">
      <w:start w:val="1"/>
      <w:numFmt w:val="lowerLetter"/>
      <w:lvlText w:val="%8)"/>
      <w:lvlJc w:val="left"/>
      <w:pPr>
        <w:ind w:left="3223" w:hanging="420"/>
      </w:pPr>
    </w:lvl>
    <w:lvl w:ilvl="8" w:tentative="0">
      <w:start w:val="1"/>
      <w:numFmt w:val="lowerRoman"/>
      <w:lvlText w:val="%9."/>
      <w:lvlJc w:val="right"/>
      <w:pPr>
        <w:ind w:left="364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evenAndOddHeaders w:val="true"/>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6C"/>
    <w:rsid w:val="0000795B"/>
    <w:rsid w:val="0001044F"/>
    <w:rsid w:val="00017EE6"/>
    <w:rsid w:val="0002325A"/>
    <w:rsid w:val="00027FEC"/>
    <w:rsid w:val="00037584"/>
    <w:rsid w:val="00044BAC"/>
    <w:rsid w:val="00053E83"/>
    <w:rsid w:val="00065AC6"/>
    <w:rsid w:val="00066FE2"/>
    <w:rsid w:val="00070433"/>
    <w:rsid w:val="000936B6"/>
    <w:rsid w:val="0009700A"/>
    <w:rsid w:val="000B0502"/>
    <w:rsid w:val="000B7987"/>
    <w:rsid w:val="000E1B5E"/>
    <w:rsid w:val="0010636F"/>
    <w:rsid w:val="0014637B"/>
    <w:rsid w:val="00170D03"/>
    <w:rsid w:val="001A2600"/>
    <w:rsid w:val="001A55BD"/>
    <w:rsid w:val="001E08F9"/>
    <w:rsid w:val="001F405A"/>
    <w:rsid w:val="002245A8"/>
    <w:rsid w:val="00227652"/>
    <w:rsid w:val="00245A23"/>
    <w:rsid w:val="00256FBD"/>
    <w:rsid w:val="0026552B"/>
    <w:rsid w:val="00333B00"/>
    <w:rsid w:val="0034152B"/>
    <w:rsid w:val="003419CC"/>
    <w:rsid w:val="003427F1"/>
    <w:rsid w:val="00364377"/>
    <w:rsid w:val="003720A6"/>
    <w:rsid w:val="003978E9"/>
    <w:rsid w:val="003B1862"/>
    <w:rsid w:val="003B2C6B"/>
    <w:rsid w:val="003B5784"/>
    <w:rsid w:val="003C4B34"/>
    <w:rsid w:val="003D054B"/>
    <w:rsid w:val="003F2806"/>
    <w:rsid w:val="003F68B7"/>
    <w:rsid w:val="00430B5C"/>
    <w:rsid w:val="00477BF3"/>
    <w:rsid w:val="004C3D02"/>
    <w:rsid w:val="004D0E1D"/>
    <w:rsid w:val="004F4E3A"/>
    <w:rsid w:val="004F7987"/>
    <w:rsid w:val="005026C0"/>
    <w:rsid w:val="005243B9"/>
    <w:rsid w:val="005252D1"/>
    <w:rsid w:val="005407B1"/>
    <w:rsid w:val="00561BDC"/>
    <w:rsid w:val="00563D86"/>
    <w:rsid w:val="00583F65"/>
    <w:rsid w:val="005861EE"/>
    <w:rsid w:val="005A0091"/>
    <w:rsid w:val="005A6841"/>
    <w:rsid w:val="005D0F57"/>
    <w:rsid w:val="005D48FD"/>
    <w:rsid w:val="005E46EE"/>
    <w:rsid w:val="005E7A33"/>
    <w:rsid w:val="006107B9"/>
    <w:rsid w:val="00640CE4"/>
    <w:rsid w:val="00645C08"/>
    <w:rsid w:val="00657E5C"/>
    <w:rsid w:val="006620F6"/>
    <w:rsid w:val="0066582A"/>
    <w:rsid w:val="00670175"/>
    <w:rsid w:val="00670FA1"/>
    <w:rsid w:val="006903D1"/>
    <w:rsid w:val="0069499F"/>
    <w:rsid w:val="006B733C"/>
    <w:rsid w:val="00705013"/>
    <w:rsid w:val="007572A2"/>
    <w:rsid w:val="007573B5"/>
    <w:rsid w:val="00783019"/>
    <w:rsid w:val="00783D48"/>
    <w:rsid w:val="007A2194"/>
    <w:rsid w:val="007B0C93"/>
    <w:rsid w:val="007B6738"/>
    <w:rsid w:val="007C2881"/>
    <w:rsid w:val="0081198F"/>
    <w:rsid w:val="00813536"/>
    <w:rsid w:val="0082443F"/>
    <w:rsid w:val="00825923"/>
    <w:rsid w:val="00833398"/>
    <w:rsid w:val="00851916"/>
    <w:rsid w:val="0085537D"/>
    <w:rsid w:val="00901B43"/>
    <w:rsid w:val="00911450"/>
    <w:rsid w:val="00926826"/>
    <w:rsid w:val="00952DF1"/>
    <w:rsid w:val="00955B3E"/>
    <w:rsid w:val="009A4189"/>
    <w:rsid w:val="009B00F1"/>
    <w:rsid w:val="009B2DF2"/>
    <w:rsid w:val="009B46D0"/>
    <w:rsid w:val="009C04E9"/>
    <w:rsid w:val="00A44728"/>
    <w:rsid w:val="00A52E97"/>
    <w:rsid w:val="00A70FCA"/>
    <w:rsid w:val="00AA214B"/>
    <w:rsid w:val="00AB3621"/>
    <w:rsid w:val="00AB6320"/>
    <w:rsid w:val="00B007DB"/>
    <w:rsid w:val="00B15D3E"/>
    <w:rsid w:val="00B37AFF"/>
    <w:rsid w:val="00B758AF"/>
    <w:rsid w:val="00B84E79"/>
    <w:rsid w:val="00BA7D87"/>
    <w:rsid w:val="00BC5B4F"/>
    <w:rsid w:val="00BC7676"/>
    <w:rsid w:val="00BE31D3"/>
    <w:rsid w:val="00BF0AB4"/>
    <w:rsid w:val="00BF6A78"/>
    <w:rsid w:val="00C11412"/>
    <w:rsid w:val="00C14B0F"/>
    <w:rsid w:val="00C34B6C"/>
    <w:rsid w:val="00C36716"/>
    <w:rsid w:val="00C37184"/>
    <w:rsid w:val="00C512CB"/>
    <w:rsid w:val="00C60052"/>
    <w:rsid w:val="00C610C6"/>
    <w:rsid w:val="00C90E24"/>
    <w:rsid w:val="00CD061B"/>
    <w:rsid w:val="00CD696C"/>
    <w:rsid w:val="00CF4F3E"/>
    <w:rsid w:val="00D40BE9"/>
    <w:rsid w:val="00D47E76"/>
    <w:rsid w:val="00D53656"/>
    <w:rsid w:val="00DB28B8"/>
    <w:rsid w:val="00DE13A8"/>
    <w:rsid w:val="00E537DC"/>
    <w:rsid w:val="00E6044C"/>
    <w:rsid w:val="00E62632"/>
    <w:rsid w:val="00E729DD"/>
    <w:rsid w:val="00EC5866"/>
    <w:rsid w:val="00ED3F1A"/>
    <w:rsid w:val="00ED6712"/>
    <w:rsid w:val="00EE2636"/>
    <w:rsid w:val="00EE2F8F"/>
    <w:rsid w:val="00F1100A"/>
    <w:rsid w:val="00F3777A"/>
    <w:rsid w:val="00F81C10"/>
    <w:rsid w:val="00F93BD1"/>
    <w:rsid w:val="00FB5FF4"/>
    <w:rsid w:val="00FB7FC0"/>
    <w:rsid w:val="00FC0AA2"/>
    <w:rsid w:val="00FC512A"/>
    <w:rsid w:val="00FD040C"/>
    <w:rsid w:val="034B343F"/>
    <w:rsid w:val="037B26C3"/>
    <w:rsid w:val="07F96A74"/>
    <w:rsid w:val="09B038B5"/>
    <w:rsid w:val="0BEE15BB"/>
    <w:rsid w:val="0C5E79E9"/>
    <w:rsid w:val="167C3C84"/>
    <w:rsid w:val="1689039C"/>
    <w:rsid w:val="18E62FF9"/>
    <w:rsid w:val="1B7E3F98"/>
    <w:rsid w:val="1B8576C0"/>
    <w:rsid w:val="1E0D7869"/>
    <w:rsid w:val="1FF466BB"/>
    <w:rsid w:val="239624BC"/>
    <w:rsid w:val="24881BFD"/>
    <w:rsid w:val="274EF65C"/>
    <w:rsid w:val="2AF05A35"/>
    <w:rsid w:val="2F2A534D"/>
    <w:rsid w:val="318A46C3"/>
    <w:rsid w:val="31BF0E58"/>
    <w:rsid w:val="32883116"/>
    <w:rsid w:val="328C44FB"/>
    <w:rsid w:val="33541820"/>
    <w:rsid w:val="33BAC362"/>
    <w:rsid w:val="3403020F"/>
    <w:rsid w:val="34557D4F"/>
    <w:rsid w:val="347436A6"/>
    <w:rsid w:val="38E85EF0"/>
    <w:rsid w:val="3ACC78ED"/>
    <w:rsid w:val="3CAF6ABC"/>
    <w:rsid w:val="3DBF22C9"/>
    <w:rsid w:val="3DE5573D"/>
    <w:rsid w:val="3FC43160"/>
    <w:rsid w:val="40A51D9C"/>
    <w:rsid w:val="44761D9E"/>
    <w:rsid w:val="483B31F6"/>
    <w:rsid w:val="4D41262F"/>
    <w:rsid w:val="4E7B2E4E"/>
    <w:rsid w:val="4F8D3316"/>
    <w:rsid w:val="4FDD5A26"/>
    <w:rsid w:val="537B3B8A"/>
    <w:rsid w:val="54AF9670"/>
    <w:rsid w:val="5820128A"/>
    <w:rsid w:val="5ACC212E"/>
    <w:rsid w:val="5AE93C9B"/>
    <w:rsid w:val="5C3C4CC7"/>
    <w:rsid w:val="5C4F6C6A"/>
    <w:rsid w:val="5D246366"/>
    <w:rsid w:val="5D5FDD52"/>
    <w:rsid w:val="5DCF414C"/>
    <w:rsid w:val="5DFF3F49"/>
    <w:rsid w:val="5E0F2888"/>
    <w:rsid w:val="5FDE61DE"/>
    <w:rsid w:val="60D177D4"/>
    <w:rsid w:val="63807CA9"/>
    <w:rsid w:val="652E48F5"/>
    <w:rsid w:val="67AB742A"/>
    <w:rsid w:val="68F53AE6"/>
    <w:rsid w:val="6B0F15E5"/>
    <w:rsid w:val="6BD5FEEB"/>
    <w:rsid w:val="6C2A3EEA"/>
    <w:rsid w:val="6CEC631A"/>
    <w:rsid w:val="6D0D4553"/>
    <w:rsid w:val="71FF6F0B"/>
    <w:rsid w:val="722C50E9"/>
    <w:rsid w:val="73B6A080"/>
    <w:rsid w:val="755766B2"/>
    <w:rsid w:val="76CC56B2"/>
    <w:rsid w:val="7A887DA5"/>
    <w:rsid w:val="7AFEC7FB"/>
    <w:rsid w:val="7BBF1BC8"/>
    <w:rsid w:val="7BEC680B"/>
    <w:rsid w:val="7BFE1AB3"/>
    <w:rsid w:val="7C39B2AD"/>
    <w:rsid w:val="7CB7271A"/>
    <w:rsid w:val="7DBF5027"/>
    <w:rsid w:val="7DFF5B01"/>
    <w:rsid w:val="7EFDB36D"/>
    <w:rsid w:val="95A71E2D"/>
    <w:rsid w:val="9E7D9992"/>
    <w:rsid w:val="B7EBD7D9"/>
    <w:rsid w:val="B7FF205C"/>
    <w:rsid w:val="BCEC5920"/>
    <w:rsid w:val="BFEF0AD8"/>
    <w:rsid w:val="CF776C60"/>
    <w:rsid w:val="E2FF8DE3"/>
    <w:rsid w:val="E75FDBC5"/>
    <w:rsid w:val="F25BADB6"/>
    <w:rsid w:val="F5EF4A20"/>
    <w:rsid w:val="F6FFAEEF"/>
    <w:rsid w:val="F7BDBA16"/>
    <w:rsid w:val="F7EFAC96"/>
    <w:rsid w:val="FBFFE56F"/>
    <w:rsid w:val="FDFFAB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0"/>
    <w:pPr>
      <w:spacing w:before="0" w:after="140" w:line="276" w:lineRule="auto"/>
    </w:pPr>
  </w:style>
  <w:style w:type="paragraph" w:styleId="4">
    <w:name w:val="List Bullet 5"/>
    <w:basedOn w:val="1"/>
    <w:qFormat/>
    <w:uiPriority w:val="0"/>
    <w:pPr>
      <w:numPr>
        <w:ilvl w:val="0"/>
        <w:numId w:val="1"/>
      </w:numPr>
    </w:pPr>
  </w:style>
  <w:style w:type="paragraph" w:styleId="6">
    <w:name w:val="annotation text"/>
    <w:basedOn w:val="1"/>
    <w:unhideWhenUsed/>
    <w:qFormat/>
    <w:uiPriority w:val="99"/>
    <w:pPr>
      <w:jc w:val="left"/>
    </w:pPr>
  </w:style>
  <w:style w:type="paragraph" w:styleId="7">
    <w:name w:val="Body Text Indent"/>
    <w:basedOn w:val="1"/>
    <w:unhideWhenUsed/>
    <w:qFormat/>
    <w:uiPriority w:val="99"/>
    <w:pPr>
      <w:ind w:firstLine="420" w:firstLineChars="200"/>
    </w:pPr>
    <w:rPr>
      <w:rFonts w:ascii="仿宋_GB2312"/>
      <w:sz w:val="21"/>
    </w:rPr>
  </w:style>
  <w:style w:type="paragraph" w:styleId="8">
    <w:name w:val="Date"/>
    <w:basedOn w:val="1"/>
    <w:next w:val="1"/>
    <w:link w:val="20"/>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next w:val="13"/>
    <w:unhideWhenUsed/>
    <w:qFormat/>
    <w:uiPriority w:val="99"/>
    <w:pPr>
      <w:jc w:val="center"/>
    </w:pPr>
    <w:rPr>
      <w:rFonts w:eastAsia="华文新魏"/>
      <w:sz w:val="44"/>
    </w:rPr>
  </w:style>
  <w:style w:type="paragraph" w:styleId="13">
    <w:name w:val="Body Text First Indent 2"/>
    <w:basedOn w:val="7"/>
    <w:unhideWhenUsed/>
    <w:qFormat/>
    <w:uiPriority w:val="99"/>
    <w:pPr>
      <w:spacing w:after="0"/>
      <w:ind w:left="0" w:leftChars="0" w:firstLine="420" w:firstLineChars="200"/>
    </w:pPr>
    <w:rPr>
      <w:rFonts w:ascii="宋体" w:hAnsi="宋体"/>
      <w:kern w:val="0"/>
      <w:sz w:val="28"/>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customStyle="1" w:styleId="19">
    <w:name w:val="页眉 Char"/>
    <w:link w:val="11"/>
    <w:qFormat/>
    <w:uiPriority w:val="0"/>
    <w:rPr>
      <w:kern w:val="2"/>
      <w:sz w:val="18"/>
      <w:szCs w:val="18"/>
    </w:rPr>
  </w:style>
  <w:style w:type="character" w:customStyle="1" w:styleId="20">
    <w:name w:val="日期 Char"/>
    <w:basedOn w:val="17"/>
    <w:link w:val="8"/>
    <w:qFormat/>
    <w:uiPriority w:val="0"/>
    <w:rPr>
      <w:kern w:val="2"/>
      <w:sz w:val="21"/>
      <w:szCs w:val="24"/>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242</Words>
  <Characters>1383</Characters>
  <Lines>11</Lines>
  <Paragraphs>3</Paragraphs>
  <TotalTime>27</TotalTime>
  <ScaleCrop>false</ScaleCrop>
  <LinksUpToDate>false</LinksUpToDate>
  <CharactersWithSpaces>1622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2019-03-12T08:51:00Z</dcterms:created>
  <dc:creator>shixiaoping</dc:creator>
  <cp:lastModifiedBy>user</cp:lastModifiedBy>
  <cp:lastPrinted>2025-07-08T09:09:29Z</cp:lastPrinted>
  <dcterms:modified xsi:type="dcterms:W3CDTF">2025-07-08T09:13:32Z</dcterms:modified>
  <dc:title>关于2014年度综合考核情况及薪酬总额反馈的通知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