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20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36"/>
          <w:szCs w:val="20"/>
        </w:rPr>
        <w:t>上海工会爱心妈咪小屋星级评定标准</w:t>
      </w:r>
    </w:p>
    <w:bookmarkEnd w:id="0"/>
    <w:p>
      <w:pPr>
        <w:spacing w:before="24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三星级爱心妈咪小屋由各区局（产业）工会评定，市总工会每年开展一次四、五星级小屋的评定工作。</w:t>
      </w:r>
    </w:p>
    <w:p>
      <w:pPr>
        <w:spacing w:line="600" w:lineRule="exact"/>
        <w:ind w:firstLine="645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一、申报范围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按“申工通”工作平台登记的建屋日期起算，</w:t>
      </w:r>
      <w:r>
        <w:rPr>
          <w:rFonts w:ascii="仿宋_GB2312" w:hAnsi="微软雅黑" w:eastAsia="仿宋_GB2312" w:cs="仿宋_GB2312"/>
          <w:color w:val="000000"/>
          <w:sz w:val="32"/>
          <w:szCs w:val="32"/>
        </w:rPr>
        <w:t>运作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满一年的小屋，可申报星级评定。</w:t>
      </w:r>
    </w:p>
    <w:p>
      <w:pPr>
        <w:spacing w:line="600" w:lineRule="exact"/>
        <w:ind w:firstLine="645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二、评定标准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（一）设备设施</w:t>
      </w:r>
    </w:p>
    <w:p>
      <w:pPr>
        <w:pStyle w:val="4"/>
        <w:spacing w:line="600" w:lineRule="exact"/>
        <w:ind w:firstLine="600"/>
        <w:rPr>
          <w:rFonts w:ascii="仿宋_GB2312" w:hAnsi="Cambria" w:eastAsia="仿宋_GB2312"/>
          <w:bCs/>
          <w:spacing w:val="-10"/>
          <w:sz w:val="32"/>
          <w:szCs w:val="32"/>
        </w:rPr>
      </w:pP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1.三星级小屋配置：具备基本采光和通风条件，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配备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空调、冰箱、消毒设备、一至两套桌椅、隔断或屏风、防滑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地面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、空气净化器。</w:t>
      </w:r>
    </w:p>
    <w:p>
      <w:pPr>
        <w:pStyle w:val="4"/>
        <w:spacing w:line="600" w:lineRule="exact"/>
        <w:ind w:firstLine="600"/>
        <w:rPr>
          <w:rFonts w:ascii="仿宋_GB2312" w:hAnsi="Cambria" w:eastAsia="仿宋_GB2312"/>
          <w:bCs/>
          <w:spacing w:val="-10"/>
          <w:sz w:val="32"/>
          <w:szCs w:val="32"/>
        </w:rPr>
      </w:pP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2.四星级小屋配置：小屋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面积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达到8平方米，内装色调柔和温馨，环境布置舒适美观。在三星级小屋配置基础上，配备饮水设备、沙发、音乐播放设备，空气净化器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或新风设备。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同层楼面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有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洗手台、洗手液的盥洗设施。</w:t>
      </w:r>
    </w:p>
    <w:p>
      <w:pPr>
        <w:pStyle w:val="4"/>
        <w:spacing w:line="600" w:lineRule="exact"/>
        <w:ind w:firstLine="600"/>
        <w:rPr>
          <w:rFonts w:ascii="仿宋_GB2312" w:hAnsi="Cambria" w:eastAsia="仿宋_GB2312"/>
          <w:bCs/>
          <w:spacing w:val="-10"/>
          <w:sz w:val="32"/>
          <w:szCs w:val="32"/>
        </w:rPr>
      </w:pP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3.五星级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小屋配置：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小屋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面积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达到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10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平方米，在四星级小屋配置基础上，小屋内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有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洗手台、洗手液的盥洗设施。根据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条件可配置：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带安全扣的婴儿尿布台、婴儿床、音响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设备、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健身器材、按摩设备等。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（二）管理制度</w:t>
      </w:r>
    </w:p>
    <w:p>
      <w:pPr>
        <w:pStyle w:val="4"/>
        <w:spacing w:line="600" w:lineRule="exact"/>
        <w:ind w:firstLine="600"/>
        <w:rPr>
          <w:rFonts w:ascii="仿宋_GB2312" w:hAnsi="Cambria" w:eastAsia="仿宋_GB2312"/>
          <w:bCs/>
          <w:spacing w:val="-10"/>
          <w:sz w:val="32"/>
          <w:szCs w:val="32"/>
        </w:rPr>
      </w:pP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有使用登记制度、清洁管理制度、安全管理制度等，小屋负责人应严格执行各项管理制度并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做好台账记录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（三）服务项目</w:t>
      </w:r>
    </w:p>
    <w:p>
      <w:pPr>
        <w:pStyle w:val="4"/>
        <w:spacing w:line="600" w:lineRule="exact"/>
        <w:ind w:firstLine="600"/>
        <w:rPr>
          <w:rFonts w:ascii="仿宋_GB2312" w:hAnsi="Cambria" w:eastAsia="仿宋_GB2312"/>
          <w:bCs/>
          <w:spacing w:val="-10"/>
          <w:sz w:val="32"/>
          <w:szCs w:val="32"/>
        </w:rPr>
      </w:pP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1.三星级小屋：每年至少开展1次以育龄女职工为主要对象的活动。</w:t>
      </w:r>
    </w:p>
    <w:p>
      <w:pPr>
        <w:pStyle w:val="4"/>
        <w:spacing w:line="600" w:lineRule="exact"/>
        <w:ind w:firstLine="600"/>
        <w:rPr>
          <w:rFonts w:ascii="仿宋_GB2312" w:hAnsi="Cambria" w:eastAsia="仿宋_GB2312"/>
          <w:bCs/>
          <w:spacing w:val="-10"/>
          <w:sz w:val="32"/>
          <w:szCs w:val="32"/>
        </w:rPr>
      </w:pP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2.四星级小屋：每年开展2次（含2次）以上以女职工为主要对象的活动。</w:t>
      </w:r>
    </w:p>
    <w:p>
      <w:pPr>
        <w:pStyle w:val="4"/>
        <w:spacing w:line="600" w:lineRule="exact"/>
        <w:ind w:firstLine="600"/>
        <w:rPr>
          <w:rFonts w:ascii="仿宋_GB2312" w:hAnsi="Cambria" w:eastAsia="仿宋_GB2312"/>
          <w:bCs/>
          <w:spacing w:val="-10"/>
          <w:sz w:val="32"/>
          <w:szCs w:val="32"/>
        </w:rPr>
      </w:pP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3.五星级小屋：每年开展2次（含2次）以上以女职工为主要对象的活动，并定期举办育儿、养身、心理健康等各类知识讲座或活动。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（四）女职工满意度</w:t>
      </w:r>
    </w:p>
    <w:p>
      <w:pPr>
        <w:pStyle w:val="4"/>
        <w:spacing w:line="600" w:lineRule="exact"/>
        <w:ind w:firstLine="600"/>
        <w:rPr>
          <w:rFonts w:ascii="仿宋_GB2312" w:hAnsi="Cambria" w:eastAsia="仿宋_GB2312"/>
          <w:bCs/>
          <w:spacing w:val="-10"/>
          <w:sz w:val="32"/>
          <w:szCs w:val="32"/>
        </w:rPr>
      </w:pP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使用小屋的女职工对使用便捷性、硬件完善情况、环境清洁温馨程度、其他服务项目等方面满意度的评价，三星级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小屋应在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90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%以上，四星级小屋应在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95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%以上，五星级小屋应在</w:t>
      </w:r>
      <w:r>
        <w:rPr>
          <w:rFonts w:hint="eastAsia" w:ascii="仿宋_GB2312" w:hAnsi="Cambria" w:eastAsia="仿宋_GB2312"/>
          <w:bCs/>
          <w:spacing w:val="-10"/>
          <w:sz w:val="32"/>
          <w:szCs w:val="32"/>
        </w:rPr>
        <w:t>98</w:t>
      </w:r>
      <w:r>
        <w:rPr>
          <w:rFonts w:ascii="仿宋_GB2312" w:hAnsi="Cambria" w:eastAsia="仿宋_GB2312"/>
          <w:bCs/>
          <w:spacing w:val="-10"/>
          <w:sz w:val="32"/>
          <w:szCs w:val="32"/>
        </w:rPr>
        <w:t>%以上。</w:t>
      </w:r>
    </w:p>
    <w:tbl>
      <w:tblPr>
        <w:tblStyle w:val="3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161"/>
        <w:gridCol w:w="1161"/>
        <w:gridCol w:w="1161"/>
        <w:gridCol w:w="1161"/>
        <w:gridCol w:w="1161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</w:p>
        </w:tc>
        <w:tc>
          <w:tcPr>
            <w:tcW w:w="1161" w:type="dxa"/>
          </w:tcPr>
          <w:p>
            <w:pPr>
              <w:tabs>
                <w:tab w:val="left" w:pos="1170"/>
              </w:tabs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非常</w:t>
            </w:r>
          </w:p>
          <w:p>
            <w:pPr>
              <w:tabs>
                <w:tab w:val="left" w:pos="1170"/>
              </w:tabs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满意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比较</w:t>
            </w:r>
          </w:p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满意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一般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不太</w:t>
            </w:r>
          </w:p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满意</w:t>
            </w:r>
          </w:p>
        </w:tc>
        <w:tc>
          <w:tcPr>
            <w:tcW w:w="1161" w:type="dxa"/>
          </w:tcPr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很不</w:t>
            </w:r>
          </w:p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满意</w:t>
            </w:r>
          </w:p>
        </w:tc>
        <w:tc>
          <w:tcPr>
            <w:tcW w:w="956" w:type="dxa"/>
          </w:tcPr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整改</w:t>
            </w:r>
          </w:p>
          <w:p>
            <w:pPr>
              <w:spacing w:line="600" w:lineRule="exact"/>
              <w:jc w:val="center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shd w:val="clear" w:color="auto" w:fill="E0E0E0"/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1.硬件设施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bottom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2.内部环境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shd w:val="clear" w:color="auto" w:fill="E0E0E0"/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3.服务内容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bottom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4.服务时间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5.服务管理</w:t>
            </w:r>
          </w:p>
        </w:tc>
        <w:tc>
          <w:tcPr>
            <w:tcW w:w="116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shd w:val="clear" w:color="auto" w:fill="auto"/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6.服务质量</w:t>
            </w:r>
          </w:p>
        </w:tc>
        <w:tc>
          <w:tcPr>
            <w:tcW w:w="116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7.卫生安全</w:t>
            </w:r>
          </w:p>
        </w:tc>
        <w:tc>
          <w:tcPr>
            <w:tcW w:w="116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shd w:val="clear" w:color="auto" w:fill="auto"/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8私密舒适</w:t>
            </w:r>
          </w:p>
        </w:tc>
        <w:tc>
          <w:tcPr>
            <w:tcW w:w="116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9.各类活动</w:t>
            </w:r>
          </w:p>
        </w:tc>
        <w:tc>
          <w:tcPr>
            <w:tcW w:w="116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ascii="宋体" w:hAnsi="宋体" w:cs="楷体"/>
                <w:b/>
                <w:color w:val="000000"/>
                <w:sz w:val="24"/>
              </w:rPr>
            </w:pPr>
            <w:r>
              <w:rPr>
                <w:rFonts w:hint="eastAsia" w:ascii="宋体" w:hAnsi="宋体" w:cs="楷体"/>
                <w:bCs/>
                <w:color w:val="000000"/>
                <w:sz w:val="24"/>
              </w:rPr>
              <w:t>10.总体感觉</w:t>
            </w:r>
          </w:p>
        </w:tc>
        <w:tc>
          <w:tcPr>
            <w:tcW w:w="116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□10</w:t>
            </w:r>
          </w:p>
        </w:tc>
        <w:tc>
          <w:tcPr>
            <w:tcW w:w="116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□8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□6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□4</w:t>
            </w:r>
          </w:p>
        </w:tc>
        <w:tc>
          <w:tcPr>
            <w:tcW w:w="116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□0</w:t>
            </w:r>
          </w:p>
        </w:tc>
        <w:tc>
          <w:tcPr>
            <w:tcW w:w="956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645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三、星级评定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（一）三星级小屋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三星级小屋由各区局（产业）工会按照</w:t>
      </w:r>
      <w:r>
        <w:rPr>
          <w:rFonts w:ascii="仿宋_GB2312" w:eastAsia="仿宋_GB2312"/>
          <w:sz w:val="32"/>
          <w:szCs w:val="32"/>
        </w:rPr>
        <w:t>标准</w:t>
      </w:r>
      <w:r>
        <w:rPr>
          <w:rFonts w:hint="eastAsia" w:ascii="仿宋_GB2312" w:eastAsia="仿宋_GB2312"/>
          <w:sz w:val="32"/>
          <w:szCs w:val="32"/>
        </w:rPr>
        <w:t>开展评定。对被评定为三星级小屋的，各区局（产业）工会填写《上海工会爱心妈咪小屋星级评定考核表》并加盖公章，交市总工会女职工委员会办公室确认备案。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（二）四、五星级小屋推荐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各区局（产业）工会选择符合条件的小屋，分别向市总工会女职工委员会推荐申报</w:t>
      </w:r>
      <w:r>
        <w:rPr>
          <w:rFonts w:ascii="仿宋_GB2312" w:eastAsia="仿宋_GB2312"/>
          <w:sz w:val="32"/>
          <w:szCs w:val="32"/>
        </w:rPr>
        <w:t>四星级或五星级小屋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1.推荐申报四星级的小屋：各区局（产业）工会填写《上海工会爱心妈咪小屋星级评定考核表》、《上海工会爱心妈咪小屋星级评定推荐汇总表（四星级）》并加盖公章，交市总工会女职工委员会办公室。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2.推荐申报五星级的小屋：各区局（产业）工会填写《上海工会爱心妈咪小屋星级评定推荐汇总表（五星级）》，交市总工会女职工委员会办公室。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（三）四、五星级小屋评定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四星级</w:t>
      </w:r>
      <w:r>
        <w:rPr>
          <w:rFonts w:ascii="仿宋_GB2312" w:eastAsia="仿宋_GB2312"/>
          <w:sz w:val="32"/>
          <w:szCs w:val="32"/>
        </w:rPr>
        <w:t>、五星级小屋评定由</w:t>
      </w:r>
      <w:r>
        <w:rPr>
          <w:rFonts w:hint="eastAsia" w:ascii="仿宋_GB2312" w:eastAsia="仿宋_GB2312"/>
          <w:sz w:val="32"/>
          <w:szCs w:val="32"/>
        </w:rPr>
        <w:t>市总工会女职工委员会负责。对申报四星级</w:t>
      </w:r>
      <w:r>
        <w:rPr>
          <w:rFonts w:ascii="仿宋_GB2312" w:eastAsia="仿宋_GB2312"/>
          <w:sz w:val="32"/>
          <w:szCs w:val="32"/>
        </w:rPr>
        <w:t>小屋的</w:t>
      </w:r>
      <w:r>
        <w:rPr>
          <w:rFonts w:hint="eastAsia" w:ascii="仿宋_GB2312" w:eastAsia="仿宋_GB2312"/>
          <w:sz w:val="32"/>
          <w:szCs w:val="32"/>
        </w:rPr>
        <w:t>，采取抽查形式评定；</w:t>
      </w:r>
      <w:r>
        <w:rPr>
          <w:rFonts w:ascii="仿宋_GB2312" w:eastAsia="仿宋_GB2312"/>
          <w:sz w:val="32"/>
          <w:szCs w:val="32"/>
        </w:rPr>
        <w:t>对申报</w:t>
      </w:r>
      <w:r>
        <w:rPr>
          <w:rFonts w:hint="eastAsia" w:ascii="仿宋_GB2312" w:eastAsia="仿宋_GB2312"/>
          <w:sz w:val="32"/>
          <w:szCs w:val="32"/>
        </w:rPr>
        <w:t>五星级小屋的，开展实地核查评定。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（四）公示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四星级、</w:t>
      </w:r>
      <w:r>
        <w:rPr>
          <w:rFonts w:ascii="仿宋_GB2312" w:eastAsia="仿宋_GB2312"/>
          <w:sz w:val="32"/>
          <w:szCs w:val="32"/>
        </w:rPr>
        <w:t>五星级小屋</w:t>
      </w:r>
      <w:r>
        <w:rPr>
          <w:rFonts w:hint="eastAsia" w:ascii="仿宋_GB2312" w:eastAsia="仿宋_GB2312"/>
          <w:sz w:val="32"/>
          <w:szCs w:val="32"/>
        </w:rPr>
        <w:t>评定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hint="eastAsia" w:ascii="仿宋_GB2312" w:eastAsia="仿宋_GB2312"/>
          <w:sz w:val="32"/>
          <w:szCs w:val="32"/>
        </w:rPr>
        <w:t>在市总工会网站（www.shzgh.org）</w:t>
      </w:r>
      <w:r>
        <w:fldChar w:fldCharType="begin"/>
      </w:r>
      <w:r>
        <w:instrText xml:space="preserve"> HYPERLINK "http://www.shzgh.org）上进行不少于5"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进行不少于5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工作日</w:t>
      </w:r>
      <w:r>
        <w:rPr>
          <w:rFonts w:hint="eastAsia" w:ascii="仿宋_GB2312" w:eastAsia="仿宋_GB2312"/>
          <w:sz w:val="32"/>
          <w:szCs w:val="32"/>
        </w:rPr>
        <w:t>公示，</w:t>
      </w:r>
      <w:r>
        <w:rPr>
          <w:rFonts w:ascii="仿宋_GB2312" w:eastAsia="仿宋_GB2312"/>
          <w:sz w:val="32"/>
          <w:szCs w:val="32"/>
        </w:rPr>
        <w:t>接受社会各界监督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（五）授星级</w:t>
      </w:r>
      <w:r>
        <w:rPr>
          <w:rFonts w:ascii="楷体" w:hAnsi="楷体" w:eastAsia="楷体"/>
          <w:sz w:val="32"/>
          <w:szCs w:val="32"/>
        </w:rPr>
        <w:t>小屋</w:t>
      </w:r>
      <w:r>
        <w:rPr>
          <w:rFonts w:hint="eastAsia" w:ascii="楷体" w:hAnsi="楷体" w:eastAsia="楷体"/>
          <w:sz w:val="32"/>
          <w:szCs w:val="32"/>
        </w:rPr>
        <w:t>标志牌</w:t>
      </w:r>
    </w:p>
    <w:p>
      <w:pPr>
        <w:spacing w:line="600" w:lineRule="exact"/>
        <w:ind w:firstLine="640" w:firstLineChars="200"/>
        <w:rPr>
          <w:rFonts w:ascii="华文宋体" w:hAnsi="华文宋体" w:eastAsia="华文宋体"/>
          <w:sz w:val="24"/>
        </w:rPr>
      </w:pPr>
      <w:r>
        <w:rPr>
          <w:rFonts w:hint="eastAsia" w:ascii="仿宋_GB2312" w:eastAsia="仿宋_GB2312"/>
          <w:sz w:val="32"/>
          <w:szCs w:val="32"/>
        </w:rPr>
        <w:t>获得</w:t>
      </w:r>
      <w:r>
        <w:rPr>
          <w:rFonts w:ascii="仿宋_GB2312" w:eastAsia="仿宋_GB2312"/>
          <w:sz w:val="32"/>
          <w:szCs w:val="32"/>
        </w:rPr>
        <w:t>四星级或五星级爱心妈咪小屋的，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市总工会女职工委员会</w:t>
      </w:r>
      <w:r>
        <w:rPr>
          <w:rFonts w:hint="eastAsia" w:ascii="仿宋_GB2312" w:eastAsia="仿宋_GB2312"/>
          <w:sz w:val="32"/>
          <w:szCs w:val="32"/>
        </w:rPr>
        <w:t>授予星级标志牌。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07F9D"/>
    <w:rsid w:val="3A4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2021-04-20T09:07:00Z</dcterms:created>
  <dc:creator>xhs</dc:creator>
  <cp:lastModifiedBy>xhs</cp:lastModifiedBy>
  <dcterms:modified xsi:type="dcterms:W3CDTF">2021-04-20T09:07:57Z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