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黑体" w:hAnsi="黑体" w:eastAsia="黑体"/>
          <w:b/>
          <w:sz w:val="32"/>
          <w:szCs w:val="32"/>
          <w:lang w:eastAsia="zh-Hans"/>
        </w:rPr>
      </w:pPr>
      <w:r>
        <w:rPr>
          <w:rFonts w:hint="eastAsia" w:ascii="黑体" w:hAnsi="黑体" w:eastAsia="黑体"/>
          <w:b/>
          <w:sz w:val="32"/>
          <w:szCs w:val="32"/>
          <w:lang w:eastAsia="zh-Hans"/>
        </w:rPr>
        <w:t>附件</w:t>
      </w:r>
      <w:r>
        <w:rPr>
          <w:rFonts w:hint="eastAsia" w:ascii="黑体" w:hAnsi="黑体" w:eastAsia="黑体"/>
          <w:b/>
          <w:sz w:val="32"/>
          <w:szCs w:val="32"/>
          <w:lang w:val="en-US" w:eastAsia="zh-CN"/>
        </w:rPr>
        <w:t>10</w:t>
      </w:r>
      <w:r>
        <w:rPr>
          <w:rFonts w:hint="eastAsia" w:ascii="黑体" w:hAnsi="黑体" w:eastAsia="黑体"/>
          <w:b/>
          <w:sz w:val="32"/>
          <w:szCs w:val="32"/>
          <w:lang w:eastAsia="zh-Hans"/>
        </w:rPr>
        <w:t>：</w:t>
      </w:r>
      <w:bookmarkStart w:id="0" w:name="_GoBack"/>
      <w:bookmarkEnd w:id="0"/>
    </w:p>
    <w:p>
      <w:pPr>
        <w:jc w:val="center"/>
        <w:rPr>
          <w:rFonts w:ascii="黑体" w:hAnsi="黑体" w:eastAsia="黑体"/>
          <w:b/>
          <w:sz w:val="32"/>
          <w:szCs w:val="32"/>
        </w:rPr>
      </w:pPr>
      <w:r>
        <w:rPr>
          <w:rFonts w:ascii="黑体" w:hAnsi="黑体" w:eastAsia="黑体"/>
          <w:b/>
          <w:sz w:val="32"/>
          <w:szCs w:val="32"/>
        </w:rPr>
        <w:t>2021</w:t>
      </w:r>
      <w:r>
        <w:rPr>
          <w:rFonts w:hint="eastAsia" w:ascii="黑体" w:hAnsi="黑体" w:eastAsia="黑体"/>
          <w:b/>
          <w:sz w:val="32"/>
          <w:szCs w:val="32"/>
        </w:rPr>
        <w:t>年嘉定区街镇成人学校（社区学校）绩效评估指标（</w:t>
      </w:r>
      <w:r>
        <w:rPr>
          <w:rFonts w:hint="eastAsia" w:ascii="黑体" w:hAnsi="黑体" w:eastAsia="黑体"/>
          <w:b/>
          <w:sz w:val="32"/>
          <w:szCs w:val="32"/>
          <w:lang w:eastAsia="zh-Hans"/>
        </w:rPr>
        <w:t>征求意见稿</w:t>
      </w:r>
      <w:r>
        <w:rPr>
          <w:rFonts w:hint="eastAsia" w:ascii="黑体" w:hAnsi="黑体" w:eastAsia="黑体"/>
          <w:b/>
          <w:sz w:val="32"/>
          <w:szCs w:val="32"/>
        </w:rPr>
        <w:t>）</w:t>
      </w:r>
    </w:p>
    <w:tbl>
      <w:tblPr>
        <w:tblStyle w:val="6"/>
        <w:tblW w:w="14264" w:type="dxa"/>
        <w:tblInd w:w="-3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0"/>
        <w:gridCol w:w="709"/>
        <w:gridCol w:w="1134"/>
        <w:gridCol w:w="708"/>
        <w:gridCol w:w="851"/>
        <w:gridCol w:w="7513"/>
        <w:gridCol w:w="1134"/>
        <w:gridCol w:w="15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2" w:hRule="atLeast"/>
        </w:trPr>
        <w:tc>
          <w:tcPr>
            <w:tcW w:w="710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  <w:b/>
                <w:szCs w:val="21"/>
              </w:rPr>
            </w:pPr>
            <w:r>
              <w:rPr>
                <w:rFonts w:hint="eastAsia" w:ascii="黑体" w:hAnsi="黑体" w:eastAsia="黑体"/>
                <w:b/>
                <w:szCs w:val="21"/>
              </w:rPr>
              <w:t>类别</w:t>
            </w:r>
          </w:p>
        </w:tc>
        <w:tc>
          <w:tcPr>
            <w:tcW w:w="709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  <w:b/>
                <w:szCs w:val="21"/>
              </w:rPr>
            </w:pPr>
            <w:r>
              <w:rPr>
                <w:rFonts w:hint="eastAsia" w:ascii="黑体" w:hAnsi="黑体" w:eastAsia="黑体"/>
                <w:b/>
                <w:szCs w:val="21"/>
              </w:rPr>
              <w:t>一级指标</w:t>
            </w:r>
          </w:p>
        </w:tc>
        <w:tc>
          <w:tcPr>
            <w:tcW w:w="1134" w:type="dxa"/>
            <w:vMerge w:val="restart"/>
            <w:vAlign w:val="center"/>
          </w:tcPr>
          <w:p>
            <w:pPr>
              <w:adjustRightInd w:val="0"/>
              <w:snapToGrid w:val="0"/>
              <w:jc w:val="center"/>
              <w:rPr>
                <w:rFonts w:ascii="黑体" w:hAnsi="黑体" w:eastAsia="黑体"/>
                <w:b/>
                <w:szCs w:val="21"/>
              </w:rPr>
            </w:pPr>
            <w:r>
              <w:rPr>
                <w:rFonts w:hint="eastAsia" w:ascii="黑体" w:hAnsi="黑体" w:eastAsia="黑体"/>
                <w:b/>
                <w:szCs w:val="21"/>
              </w:rPr>
              <w:t>二级</w:t>
            </w:r>
          </w:p>
          <w:p>
            <w:pPr>
              <w:adjustRightInd w:val="0"/>
              <w:snapToGrid w:val="0"/>
              <w:jc w:val="center"/>
              <w:rPr>
                <w:rFonts w:ascii="黑体" w:hAnsi="黑体" w:eastAsia="黑体"/>
                <w:b/>
                <w:szCs w:val="21"/>
              </w:rPr>
            </w:pPr>
            <w:r>
              <w:rPr>
                <w:rFonts w:hint="eastAsia" w:ascii="黑体" w:hAnsi="黑体" w:eastAsia="黑体"/>
                <w:b/>
                <w:szCs w:val="21"/>
              </w:rPr>
              <w:t>指标</w:t>
            </w:r>
          </w:p>
        </w:tc>
        <w:tc>
          <w:tcPr>
            <w:tcW w:w="1559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/>
                <w:b/>
                <w:szCs w:val="21"/>
              </w:rPr>
            </w:pPr>
            <w:r>
              <w:rPr>
                <w:rFonts w:hint="eastAsia" w:ascii="黑体" w:hAnsi="黑体" w:eastAsia="黑体"/>
                <w:b/>
                <w:szCs w:val="21"/>
              </w:rPr>
              <w:t>评价情况</w:t>
            </w:r>
          </w:p>
        </w:tc>
        <w:tc>
          <w:tcPr>
            <w:tcW w:w="7513" w:type="dxa"/>
            <w:vMerge w:val="restart"/>
            <w:vAlign w:val="center"/>
          </w:tcPr>
          <w:p>
            <w:pPr>
              <w:adjustRightInd w:val="0"/>
              <w:snapToGrid w:val="0"/>
              <w:jc w:val="center"/>
              <w:rPr>
                <w:rFonts w:ascii="黑体" w:hAnsi="黑体" w:eastAsia="黑体"/>
                <w:b/>
                <w:szCs w:val="21"/>
              </w:rPr>
            </w:pPr>
            <w:r>
              <w:rPr>
                <w:rFonts w:hint="eastAsia" w:ascii="黑体" w:hAnsi="黑体" w:eastAsia="黑体"/>
                <w:b/>
                <w:szCs w:val="21"/>
              </w:rPr>
              <w:t>评价要点</w:t>
            </w:r>
          </w:p>
        </w:tc>
        <w:tc>
          <w:tcPr>
            <w:tcW w:w="1134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  <w:b/>
                <w:szCs w:val="21"/>
              </w:rPr>
            </w:pPr>
            <w:r>
              <w:rPr>
                <w:rFonts w:hint="eastAsia" w:ascii="黑体" w:hAnsi="黑体" w:eastAsia="黑体"/>
                <w:b/>
                <w:szCs w:val="21"/>
              </w:rPr>
              <w:t>评价方式</w:t>
            </w:r>
          </w:p>
        </w:tc>
        <w:tc>
          <w:tcPr>
            <w:tcW w:w="1505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  <w:b/>
                <w:szCs w:val="21"/>
              </w:rPr>
            </w:pPr>
            <w:r>
              <w:rPr>
                <w:rFonts w:hint="eastAsia" w:ascii="黑体" w:hAnsi="黑体" w:eastAsia="黑体"/>
                <w:b/>
                <w:szCs w:val="21"/>
              </w:rPr>
              <w:t>主评部门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" w:hRule="atLeast"/>
        </w:trPr>
        <w:tc>
          <w:tcPr>
            <w:tcW w:w="710" w:type="dxa"/>
            <w:vMerge w:val="continue"/>
          </w:tcPr>
          <w:p>
            <w:pPr>
              <w:jc w:val="center"/>
              <w:rPr>
                <w:rFonts w:ascii="黑体" w:hAnsi="黑体" w:eastAsia="黑体"/>
                <w:b/>
                <w:szCs w:val="21"/>
              </w:rPr>
            </w:pPr>
          </w:p>
        </w:tc>
        <w:tc>
          <w:tcPr>
            <w:tcW w:w="709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  <w:b/>
                <w:szCs w:val="21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rFonts w:ascii="黑体" w:hAnsi="黑体" w:eastAsia="黑体"/>
                <w:b/>
                <w:szCs w:val="21"/>
              </w:rPr>
            </w:pPr>
          </w:p>
        </w:tc>
        <w:tc>
          <w:tcPr>
            <w:tcW w:w="708" w:type="dxa"/>
            <w:vAlign w:val="center"/>
          </w:tcPr>
          <w:p>
            <w:pPr>
              <w:jc w:val="center"/>
              <w:rPr>
                <w:rFonts w:ascii="黑体" w:hAnsi="黑体" w:eastAsia="黑体"/>
                <w:b/>
                <w:szCs w:val="21"/>
              </w:rPr>
            </w:pPr>
            <w:r>
              <w:rPr>
                <w:rFonts w:hint="eastAsia" w:ascii="黑体" w:hAnsi="黑体" w:eastAsia="黑体"/>
                <w:b/>
                <w:szCs w:val="21"/>
              </w:rPr>
              <w:t>达标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rFonts w:ascii="黑体" w:hAnsi="黑体" w:eastAsia="黑体"/>
                <w:b/>
              </w:rPr>
            </w:pPr>
            <w:r>
              <w:rPr>
                <w:rFonts w:hint="eastAsia" w:ascii="黑体" w:hAnsi="黑体" w:eastAsia="黑体"/>
                <w:b/>
                <w:szCs w:val="21"/>
              </w:rPr>
              <w:t>未达标</w:t>
            </w:r>
          </w:p>
        </w:tc>
        <w:tc>
          <w:tcPr>
            <w:tcW w:w="7513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rFonts w:ascii="黑体" w:hAnsi="黑体" w:eastAsia="黑体"/>
                <w:b/>
                <w:szCs w:val="21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  <w:b/>
                <w:szCs w:val="21"/>
              </w:rPr>
            </w:pPr>
          </w:p>
        </w:tc>
        <w:tc>
          <w:tcPr>
            <w:tcW w:w="1505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</w:trPr>
        <w:tc>
          <w:tcPr>
            <w:tcW w:w="71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基</w:t>
            </w:r>
          </w:p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础</w:t>
            </w:r>
          </w:p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性</w:t>
            </w:r>
          </w:p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指</w:t>
            </w:r>
          </w:p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标</w:t>
            </w:r>
          </w:p>
        </w:tc>
        <w:tc>
          <w:tcPr>
            <w:tcW w:w="709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党群</w:t>
            </w:r>
            <w:r>
              <w:rPr>
                <w:rFonts w:ascii="宋体" w:hAnsi="宋体"/>
                <w:b/>
                <w:bCs/>
                <w:szCs w:val="21"/>
              </w:rPr>
              <w:t>工作</w:t>
            </w:r>
          </w:p>
        </w:tc>
        <w:tc>
          <w:tcPr>
            <w:tcW w:w="1134" w:type="dxa"/>
            <w:vMerge w:val="restart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思想引领</w:t>
            </w:r>
          </w:p>
        </w:tc>
        <w:tc>
          <w:tcPr>
            <w:tcW w:w="708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7513" w:type="dxa"/>
            <w:vAlign w:val="center"/>
          </w:tcPr>
          <w:p>
            <w:pPr>
              <w:adjustRightInd w:val="0"/>
              <w:snapToGrid w:val="0"/>
              <w:rPr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全面贯彻党的教育方针，坚持社会主义办学方向，落实立德树人根本任务，遵循教育规律，加强党组织在推进教育评价改革的领导，发展素质教育。突出党组织政治功能，</w:t>
            </w:r>
            <w:r>
              <w:rPr>
                <w:rFonts w:hint="eastAsia" w:ascii="宋体" w:hAnsi="宋体" w:cs="宋体"/>
                <w:bCs/>
                <w:szCs w:val="21"/>
              </w:rPr>
              <w:t>加强党建带工建团建</w:t>
            </w:r>
            <w:r>
              <w:rPr>
                <w:rFonts w:hint="eastAsia" w:ascii="宋体" w:hAnsi="宋体" w:cs="宋体"/>
                <w:szCs w:val="21"/>
              </w:rPr>
              <w:t>队建，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做好思想政治工作和意识形态工作。</w:t>
            </w:r>
          </w:p>
        </w:tc>
        <w:tc>
          <w:tcPr>
            <w:tcW w:w="1134" w:type="dxa"/>
            <w:vMerge w:val="restart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过程性检查</w:t>
            </w:r>
          </w:p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资料查阅</w:t>
            </w:r>
          </w:p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数据采集</w:t>
            </w:r>
          </w:p>
        </w:tc>
        <w:tc>
          <w:tcPr>
            <w:tcW w:w="1505" w:type="dxa"/>
            <w:vMerge w:val="restart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党群</w:t>
            </w:r>
            <w:r>
              <w:rPr>
                <w:rFonts w:ascii="宋体"/>
                <w:sz w:val="18"/>
                <w:szCs w:val="18"/>
              </w:rPr>
              <w:t>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</w:trPr>
        <w:tc>
          <w:tcPr>
            <w:tcW w:w="710" w:type="dxa"/>
            <w:vMerge w:val="continue"/>
            <w:vAlign w:val="center"/>
          </w:tcPr>
          <w:p>
            <w:pPr>
              <w:adjustRightInd w:val="0"/>
              <w:snapToGrid w:val="0"/>
              <w:jc w:val="left"/>
            </w:pPr>
          </w:p>
        </w:tc>
        <w:tc>
          <w:tcPr>
            <w:tcW w:w="709" w:type="dxa"/>
            <w:vMerge w:val="continue"/>
            <w:vAlign w:val="center"/>
          </w:tcPr>
          <w:p>
            <w:pPr>
              <w:adjustRightInd w:val="0"/>
              <w:snapToGrid w:val="0"/>
              <w:jc w:val="left"/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adjustRightInd w:val="0"/>
              <w:snapToGrid w:val="0"/>
              <w:jc w:val="left"/>
            </w:pPr>
          </w:p>
        </w:tc>
        <w:tc>
          <w:tcPr>
            <w:tcW w:w="708" w:type="dxa"/>
            <w:vAlign w:val="center"/>
          </w:tcPr>
          <w:p>
            <w:pPr>
              <w:adjustRightInd w:val="0"/>
              <w:snapToGrid w:val="0"/>
              <w:jc w:val="left"/>
            </w:pPr>
          </w:p>
        </w:tc>
        <w:tc>
          <w:tcPr>
            <w:tcW w:w="851" w:type="dxa"/>
            <w:vAlign w:val="center"/>
          </w:tcPr>
          <w:p>
            <w:pPr>
              <w:adjustRightInd w:val="0"/>
              <w:snapToGrid w:val="0"/>
              <w:jc w:val="left"/>
            </w:pPr>
          </w:p>
        </w:tc>
        <w:tc>
          <w:tcPr>
            <w:tcW w:w="7513" w:type="dxa"/>
            <w:vAlign w:val="center"/>
          </w:tcPr>
          <w:p>
            <w:pPr>
              <w:adjustRightInd w:val="0"/>
              <w:snapToGrid w:val="0"/>
              <w:rPr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巩固拓展“不忘初心，牢记使命”主题教育成果，扎实开展党史学习教育，推进“</w:t>
            </w:r>
            <w:r>
              <w:rPr>
                <w:rFonts w:asciiTheme="minorEastAsia" w:hAnsiTheme="minorEastAsia" w:eastAsiaTheme="minorEastAsia"/>
                <w:szCs w:val="21"/>
              </w:rPr>
              <w:t>两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学一做”</w:t>
            </w:r>
            <w:r>
              <w:rPr>
                <w:rFonts w:asciiTheme="minorEastAsia" w:hAnsiTheme="minorEastAsia" w:eastAsiaTheme="minorEastAsia"/>
                <w:szCs w:val="21"/>
              </w:rPr>
              <w:t>制度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化常态化，</w:t>
            </w:r>
            <w:r>
              <w:rPr>
                <w:rFonts w:asciiTheme="minorEastAsia" w:hAnsiTheme="minorEastAsia" w:eastAsiaTheme="minorEastAsia"/>
                <w:szCs w:val="21"/>
              </w:rPr>
              <w:t>在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嘉定区“</w:t>
            </w:r>
            <w:r>
              <w:rPr>
                <w:rFonts w:asciiTheme="minorEastAsia" w:hAnsiTheme="minorEastAsia" w:eastAsiaTheme="minorEastAsia"/>
                <w:szCs w:val="21"/>
              </w:rPr>
              <w:t>教育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质量提升三年行动计划”中发挥党组织战斗堡垒和党员先锋模范作用。持续</w:t>
            </w:r>
            <w:r>
              <w:rPr>
                <w:rFonts w:asciiTheme="minorEastAsia" w:hAnsiTheme="minorEastAsia" w:eastAsiaTheme="minorEastAsia"/>
                <w:szCs w:val="21"/>
              </w:rPr>
              <w:t>开展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社会主义核心价值观等主题宣传教育，加强意识形态“六责联动”机制建设。</w:t>
            </w:r>
          </w:p>
        </w:tc>
        <w:tc>
          <w:tcPr>
            <w:tcW w:w="1134" w:type="dxa"/>
            <w:vMerge w:val="continue"/>
            <w:vAlign w:val="center"/>
          </w:tcPr>
          <w:p>
            <w:pPr>
              <w:adjustRightInd w:val="0"/>
              <w:snapToGrid w:val="0"/>
              <w:jc w:val="left"/>
              <w:rPr>
                <w:szCs w:val="21"/>
              </w:rPr>
            </w:pPr>
          </w:p>
        </w:tc>
        <w:tc>
          <w:tcPr>
            <w:tcW w:w="1505" w:type="dxa"/>
            <w:vMerge w:val="continue"/>
            <w:vAlign w:val="center"/>
          </w:tcPr>
          <w:p>
            <w:pPr>
              <w:adjustRightInd w:val="0"/>
              <w:snapToGrid w:val="0"/>
              <w:jc w:val="lef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" w:hRule="atLeast"/>
        </w:trPr>
        <w:tc>
          <w:tcPr>
            <w:tcW w:w="710" w:type="dxa"/>
            <w:vMerge w:val="continue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09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纪律作风</w:t>
            </w:r>
          </w:p>
        </w:tc>
        <w:tc>
          <w:tcPr>
            <w:tcW w:w="708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7513" w:type="dxa"/>
            <w:vAlign w:val="center"/>
          </w:tcPr>
          <w:p>
            <w:pPr>
              <w:adjustRightInd w:val="0"/>
              <w:snapToGrid w:val="0"/>
              <w:rPr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抓好巡视巡察巡检发现问题整改，落实“</w:t>
            </w:r>
            <w:r>
              <w:rPr>
                <w:rFonts w:asciiTheme="minorEastAsia" w:hAnsiTheme="minorEastAsia" w:eastAsiaTheme="minorEastAsia"/>
                <w:szCs w:val="21"/>
              </w:rPr>
              <w:t>四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责协同”机制；严格执行“</w:t>
            </w:r>
            <w:r>
              <w:rPr>
                <w:rFonts w:asciiTheme="minorEastAsia" w:hAnsiTheme="minorEastAsia" w:eastAsiaTheme="minorEastAsia"/>
                <w:szCs w:val="21"/>
              </w:rPr>
              <w:t>三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重一大”</w:t>
            </w:r>
            <w:r>
              <w:rPr>
                <w:rFonts w:asciiTheme="minorEastAsia" w:hAnsiTheme="minorEastAsia" w:eastAsiaTheme="minorEastAsia"/>
                <w:szCs w:val="21"/>
              </w:rPr>
              <w:t>制度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；开展“廉洁文化教育月”活动和干部作风建设专项行动。</w:t>
            </w:r>
          </w:p>
        </w:tc>
        <w:tc>
          <w:tcPr>
            <w:tcW w:w="1134" w:type="dxa"/>
            <w:vMerge w:val="continue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1505" w:type="dxa"/>
            <w:vMerge w:val="continue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710" w:type="dxa"/>
            <w:vMerge w:val="continue"/>
          </w:tcPr>
          <w:p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709" w:type="dxa"/>
            <w:vMerge w:val="continue"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134" w:type="dxa"/>
            <w:vMerge w:val="restart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工会工作</w:t>
            </w:r>
          </w:p>
        </w:tc>
        <w:tc>
          <w:tcPr>
            <w:tcW w:w="708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7513" w:type="dxa"/>
            <w:vAlign w:val="center"/>
          </w:tcPr>
          <w:p>
            <w:pPr>
              <w:adjustRightInd w:val="0"/>
              <w:snapToGrid w:val="0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依法按时换届；教代会操作规范，每年至少召开2次教代会，落实提案制和涉及教工切身利益等重大事项票决制。</w:t>
            </w:r>
          </w:p>
        </w:tc>
        <w:tc>
          <w:tcPr>
            <w:tcW w:w="1134" w:type="dxa"/>
            <w:vMerge w:val="continue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1505" w:type="dxa"/>
            <w:vMerge w:val="restart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教育工会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3" w:hRule="atLeast"/>
        </w:trPr>
        <w:tc>
          <w:tcPr>
            <w:tcW w:w="710" w:type="dxa"/>
            <w:vMerge w:val="continue"/>
          </w:tcPr>
          <w:p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709" w:type="dxa"/>
            <w:vMerge w:val="continue"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7513" w:type="dxa"/>
            <w:vAlign w:val="center"/>
          </w:tcPr>
          <w:p>
            <w:pPr>
              <w:adjustRightInd w:val="0"/>
              <w:snapToGrid w:val="0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每年至少开展或参加3次教工文体活动。</w:t>
            </w:r>
          </w:p>
        </w:tc>
        <w:tc>
          <w:tcPr>
            <w:tcW w:w="1134" w:type="dxa"/>
            <w:vMerge w:val="continue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1505" w:type="dxa"/>
            <w:vMerge w:val="continue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4" w:hRule="atLeast"/>
        </w:trPr>
        <w:tc>
          <w:tcPr>
            <w:tcW w:w="710" w:type="dxa"/>
            <w:vMerge w:val="continue"/>
          </w:tcPr>
          <w:p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709" w:type="dxa"/>
            <w:vMerge w:val="continue"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7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关心退休教工，做好帮扶慰问工作；有效开展退休教工活动。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过程性检查</w:t>
            </w:r>
          </w:p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/>
                <w:sz w:val="18"/>
                <w:szCs w:val="18"/>
              </w:rPr>
              <w:t>资料</w:t>
            </w:r>
            <w:r>
              <w:rPr>
                <w:rFonts w:hint="eastAsia" w:ascii="宋体"/>
                <w:sz w:val="18"/>
                <w:szCs w:val="18"/>
              </w:rPr>
              <w:t>查阅</w:t>
            </w:r>
          </w:p>
        </w:tc>
        <w:tc>
          <w:tcPr>
            <w:tcW w:w="1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退管会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</w:trPr>
        <w:tc>
          <w:tcPr>
            <w:tcW w:w="710" w:type="dxa"/>
            <w:vMerge w:val="continue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09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依法</w:t>
            </w:r>
          </w:p>
          <w:p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办学</w:t>
            </w:r>
          </w:p>
        </w:tc>
        <w:tc>
          <w:tcPr>
            <w:tcW w:w="1134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依法治校</w:t>
            </w:r>
          </w:p>
        </w:tc>
        <w:tc>
          <w:tcPr>
            <w:tcW w:w="708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7513" w:type="dxa"/>
            <w:vAlign w:val="center"/>
          </w:tcPr>
          <w:p>
            <w:pPr>
              <w:adjustRightInd w:val="0"/>
              <w:snapToGrid w:val="0"/>
              <w:jc w:val="left"/>
              <w:rPr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推进章程及系列配套制度建设。做好学校十四五发展规划的启动工作及年度目标达成工作。</w:t>
            </w:r>
          </w:p>
        </w:tc>
        <w:tc>
          <w:tcPr>
            <w:tcW w:w="1134" w:type="dxa"/>
            <w:vMerge w:val="restart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过程性</w:t>
            </w:r>
            <w:r>
              <w:rPr>
                <w:rFonts w:ascii="宋体"/>
                <w:sz w:val="18"/>
                <w:szCs w:val="18"/>
              </w:rPr>
              <w:t>评价</w:t>
            </w:r>
          </w:p>
        </w:tc>
        <w:tc>
          <w:tcPr>
            <w:tcW w:w="1505" w:type="dxa"/>
            <w:vMerge w:val="restart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成职教科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</w:trPr>
        <w:tc>
          <w:tcPr>
            <w:tcW w:w="710" w:type="dxa"/>
            <w:vMerge w:val="continue"/>
          </w:tcPr>
          <w:p>
            <w:pPr>
              <w:rPr>
                <w:rFonts w:ascii="宋体"/>
                <w:szCs w:val="21"/>
              </w:rPr>
            </w:pPr>
          </w:p>
        </w:tc>
        <w:tc>
          <w:tcPr>
            <w:tcW w:w="709" w:type="dxa"/>
            <w:vMerge w:val="continue"/>
            <w:vAlign w:val="center"/>
          </w:tcPr>
          <w:p>
            <w:pPr>
              <w:rPr>
                <w:rFonts w:ascii="宋体"/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校务管理</w:t>
            </w:r>
          </w:p>
        </w:tc>
        <w:tc>
          <w:tcPr>
            <w:tcW w:w="708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7513" w:type="dxa"/>
            <w:vAlign w:val="center"/>
          </w:tcPr>
          <w:p>
            <w:pPr>
              <w:adjustRightInd w:val="0"/>
              <w:snapToGrid w:val="0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发挥校务委员会作用，定期研究、协调成人教育工作，促进区域资源整合。</w:t>
            </w:r>
          </w:p>
        </w:tc>
        <w:tc>
          <w:tcPr>
            <w:tcW w:w="1134" w:type="dxa"/>
            <w:vMerge w:val="continue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1505" w:type="dxa"/>
            <w:vMerge w:val="continue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" w:hRule="atLeast"/>
        </w:trPr>
        <w:tc>
          <w:tcPr>
            <w:tcW w:w="710" w:type="dxa"/>
            <w:vMerge w:val="continue"/>
          </w:tcPr>
          <w:p>
            <w:pPr>
              <w:rPr>
                <w:rFonts w:ascii="宋体"/>
                <w:szCs w:val="21"/>
              </w:rPr>
            </w:pPr>
          </w:p>
        </w:tc>
        <w:tc>
          <w:tcPr>
            <w:tcW w:w="709" w:type="dxa"/>
            <w:vMerge w:val="continue"/>
            <w:vAlign w:val="center"/>
          </w:tcPr>
          <w:p>
            <w:pPr>
              <w:rPr>
                <w:rFonts w:ascii="宋体"/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资产</w:t>
            </w:r>
            <w:r>
              <w:rPr>
                <w:rFonts w:ascii="宋体"/>
                <w:sz w:val="18"/>
                <w:szCs w:val="18"/>
              </w:rPr>
              <w:t>管理</w:t>
            </w:r>
          </w:p>
        </w:tc>
        <w:tc>
          <w:tcPr>
            <w:tcW w:w="708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7513" w:type="dxa"/>
            <w:vAlign w:val="center"/>
          </w:tcPr>
          <w:p>
            <w:pPr>
              <w:adjustRightInd w:val="0"/>
              <w:snapToGrid w:val="0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严格按规定采购设备，规范做好国有资产管理工作。</w:t>
            </w:r>
          </w:p>
        </w:tc>
        <w:tc>
          <w:tcPr>
            <w:tcW w:w="1134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过程性检查</w:t>
            </w:r>
          </w:p>
        </w:tc>
        <w:tc>
          <w:tcPr>
            <w:tcW w:w="1505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教育资产与财务核算中心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" w:hRule="atLeast"/>
        </w:trPr>
        <w:tc>
          <w:tcPr>
            <w:tcW w:w="710" w:type="dxa"/>
            <w:vMerge w:val="continue"/>
          </w:tcPr>
          <w:p>
            <w:pPr>
              <w:rPr>
                <w:rFonts w:ascii="宋体"/>
                <w:szCs w:val="21"/>
              </w:rPr>
            </w:pPr>
          </w:p>
        </w:tc>
        <w:tc>
          <w:tcPr>
            <w:tcW w:w="709" w:type="dxa"/>
            <w:vMerge w:val="continue"/>
            <w:vAlign w:val="center"/>
          </w:tcPr>
          <w:p>
            <w:pPr>
              <w:rPr>
                <w:rFonts w:ascii="宋体"/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信访稳定</w:t>
            </w:r>
          </w:p>
        </w:tc>
        <w:tc>
          <w:tcPr>
            <w:tcW w:w="708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7513" w:type="dxa"/>
            <w:vAlign w:val="center"/>
          </w:tcPr>
          <w:p>
            <w:pPr>
              <w:adjustRightInd w:val="0"/>
              <w:snapToGrid w:val="0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信访工作领导责任制明确；无越级上访、集体上访事件。</w:t>
            </w:r>
          </w:p>
        </w:tc>
        <w:tc>
          <w:tcPr>
            <w:tcW w:w="1134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/>
                <w:sz w:val="18"/>
                <w:szCs w:val="18"/>
              </w:rPr>
              <w:t>资料</w:t>
            </w:r>
            <w:r>
              <w:rPr>
                <w:rFonts w:hint="eastAsia" w:ascii="宋体"/>
                <w:sz w:val="18"/>
                <w:szCs w:val="18"/>
              </w:rPr>
              <w:t>查阅</w:t>
            </w:r>
          </w:p>
        </w:tc>
        <w:tc>
          <w:tcPr>
            <w:tcW w:w="1505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办公室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</w:trPr>
        <w:tc>
          <w:tcPr>
            <w:tcW w:w="710" w:type="dxa"/>
            <w:vMerge w:val="continue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09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师资</w:t>
            </w:r>
          </w:p>
          <w:p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队伍</w:t>
            </w:r>
          </w:p>
        </w:tc>
        <w:tc>
          <w:tcPr>
            <w:tcW w:w="1134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师资管理</w:t>
            </w:r>
          </w:p>
        </w:tc>
        <w:tc>
          <w:tcPr>
            <w:tcW w:w="708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7513" w:type="dxa"/>
            <w:vAlign w:val="center"/>
          </w:tcPr>
          <w:p>
            <w:pPr>
              <w:adjustRightInd w:val="0"/>
              <w:snapToGrid w:val="0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教职工岗位职责明确，任职考核评价规范科学。</w:t>
            </w:r>
          </w:p>
        </w:tc>
        <w:tc>
          <w:tcPr>
            <w:tcW w:w="1134" w:type="dxa"/>
            <w:vMerge w:val="restart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资料查阅</w:t>
            </w:r>
          </w:p>
        </w:tc>
        <w:tc>
          <w:tcPr>
            <w:tcW w:w="1505" w:type="dxa"/>
            <w:vMerge w:val="restart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人事科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3" w:hRule="atLeast"/>
        </w:trPr>
        <w:tc>
          <w:tcPr>
            <w:tcW w:w="710" w:type="dxa"/>
            <w:vMerge w:val="continue"/>
          </w:tcPr>
          <w:p>
            <w:pPr>
              <w:rPr>
                <w:rFonts w:ascii="宋体"/>
                <w:szCs w:val="21"/>
              </w:rPr>
            </w:pPr>
          </w:p>
        </w:tc>
        <w:tc>
          <w:tcPr>
            <w:tcW w:w="709" w:type="dxa"/>
            <w:vMerge w:val="continue"/>
            <w:vAlign w:val="center"/>
          </w:tcPr>
          <w:p>
            <w:pPr>
              <w:rPr>
                <w:rFonts w:ascii="宋体"/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薪酬待遇</w:t>
            </w:r>
          </w:p>
        </w:tc>
        <w:tc>
          <w:tcPr>
            <w:tcW w:w="708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7513" w:type="dxa"/>
            <w:vAlign w:val="center"/>
          </w:tcPr>
          <w:p>
            <w:pPr>
              <w:adjustRightInd w:val="0"/>
              <w:snapToGrid w:val="0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绩效发放规范合理，发挥激励作用。</w:t>
            </w:r>
          </w:p>
        </w:tc>
        <w:tc>
          <w:tcPr>
            <w:tcW w:w="1134" w:type="dxa"/>
            <w:vMerge w:val="continue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1505" w:type="dxa"/>
            <w:vMerge w:val="continue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</w:trPr>
        <w:tc>
          <w:tcPr>
            <w:tcW w:w="710" w:type="dxa"/>
            <w:vMerge w:val="continue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09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教育</w:t>
            </w:r>
          </w:p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培训</w:t>
            </w:r>
          </w:p>
        </w:tc>
        <w:tc>
          <w:tcPr>
            <w:tcW w:w="1134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长班管理</w:t>
            </w:r>
          </w:p>
        </w:tc>
        <w:tc>
          <w:tcPr>
            <w:tcW w:w="708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7513" w:type="dxa"/>
            <w:vAlign w:val="center"/>
          </w:tcPr>
          <w:p>
            <w:pPr>
              <w:adjustRightInd w:val="0"/>
              <w:snapToGrid w:val="0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落实“励学计划”，积极开展学历教育；非学历教育班级数、总学员数逐步增长。</w:t>
            </w:r>
          </w:p>
        </w:tc>
        <w:tc>
          <w:tcPr>
            <w:tcW w:w="1134" w:type="dxa"/>
            <w:vMerge w:val="restart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数据汇总</w:t>
            </w:r>
          </w:p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总结材料</w:t>
            </w:r>
          </w:p>
        </w:tc>
        <w:tc>
          <w:tcPr>
            <w:tcW w:w="1505" w:type="dxa"/>
            <w:vMerge w:val="restart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成职教科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710" w:type="dxa"/>
            <w:vMerge w:val="continue"/>
          </w:tcPr>
          <w:p>
            <w:pPr>
              <w:rPr>
                <w:rFonts w:ascii="宋体"/>
                <w:szCs w:val="21"/>
              </w:rPr>
            </w:pPr>
          </w:p>
        </w:tc>
        <w:tc>
          <w:tcPr>
            <w:tcW w:w="709" w:type="dxa"/>
            <w:vMerge w:val="continue"/>
            <w:vAlign w:val="center"/>
          </w:tcPr>
          <w:p>
            <w:pPr>
              <w:rPr>
                <w:rFonts w:ascii="宋体"/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短班管理</w:t>
            </w:r>
          </w:p>
        </w:tc>
        <w:tc>
          <w:tcPr>
            <w:tcW w:w="708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7513" w:type="dxa"/>
            <w:vAlign w:val="center"/>
          </w:tcPr>
          <w:p>
            <w:pPr>
              <w:adjustRightInd w:val="0"/>
              <w:snapToGrid w:val="0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短期培训、</w:t>
            </w:r>
            <w:r>
              <w:rPr>
                <w:szCs w:val="21"/>
              </w:rPr>
              <w:t>讲座</w:t>
            </w:r>
            <w:r>
              <w:rPr>
                <w:rFonts w:hint="eastAsia"/>
                <w:szCs w:val="21"/>
              </w:rPr>
              <w:t>内容丰富、参与面广、培训率高；结合区域实际，自行开展或合作开展职业技能培训，创建区域培训特色。</w:t>
            </w:r>
          </w:p>
        </w:tc>
        <w:tc>
          <w:tcPr>
            <w:tcW w:w="1134" w:type="dxa"/>
            <w:vMerge w:val="continue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1505" w:type="dxa"/>
            <w:vMerge w:val="continue"/>
            <w:vAlign w:val="center"/>
          </w:tcPr>
          <w:p>
            <w:pPr>
              <w:spacing w:line="200" w:lineRule="exact"/>
              <w:rPr>
                <w:rFonts w:asci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710" w:type="dxa"/>
            <w:vMerge w:val="continue"/>
          </w:tcPr>
          <w:p>
            <w:pPr>
              <w:rPr>
                <w:rFonts w:ascii="宋体"/>
                <w:szCs w:val="21"/>
              </w:rPr>
            </w:pPr>
          </w:p>
        </w:tc>
        <w:tc>
          <w:tcPr>
            <w:tcW w:w="709" w:type="dxa"/>
            <w:vMerge w:val="continue"/>
            <w:vAlign w:val="center"/>
          </w:tcPr>
          <w:p>
            <w:pPr>
              <w:rPr>
                <w:rFonts w:ascii="宋体"/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讲座管理</w:t>
            </w:r>
          </w:p>
        </w:tc>
        <w:tc>
          <w:tcPr>
            <w:tcW w:w="708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7513" w:type="dxa"/>
            <w:vAlign w:val="center"/>
          </w:tcPr>
          <w:p>
            <w:pPr>
              <w:adjustRightInd w:val="0"/>
              <w:snapToGrid w:val="0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发挥学习点作用，开展各类教育培训讲座；校本讲座内容丰富、参与面广、培训率高。</w:t>
            </w:r>
          </w:p>
        </w:tc>
        <w:tc>
          <w:tcPr>
            <w:tcW w:w="1134" w:type="dxa"/>
            <w:vMerge w:val="continue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1505" w:type="dxa"/>
            <w:vMerge w:val="continue"/>
            <w:vAlign w:val="center"/>
          </w:tcPr>
          <w:p>
            <w:pPr>
              <w:spacing w:line="200" w:lineRule="exact"/>
              <w:rPr>
                <w:rFonts w:asci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710" w:type="dxa"/>
            <w:vMerge w:val="continue"/>
          </w:tcPr>
          <w:p>
            <w:pPr>
              <w:rPr>
                <w:rFonts w:ascii="宋体"/>
                <w:szCs w:val="21"/>
              </w:rPr>
            </w:pPr>
          </w:p>
        </w:tc>
        <w:tc>
          <w:tcPr>
            <w:tcW w:w="709" w:type="dxa"/>
            <w:vMerge w:val="continue"/>
            <w:vAlign w:val="center"/>
          </w:tcPr>
          <w:p>
            <w:pPr>
              <w:rPr>
                <w:rFonts w:ascii="宋体"/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主题活动</w:t>
            </w:r>
          </w:p>
        </w:tc>
        <w:tc>
          <w:tcPr>
            <w:tcW w:w="708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7513" w:type="dxa"/>
            <w:vAlign w:val="center"/>
          </w:tcPr>
          <w:p>
            <w:pPr>
              <w:adjustRightInd w:val="0"/>
              <w:snapToGrid w:val="0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开展有主题的年度终身学习季系列活动，举办街镇全民终身学习季开幕式。</w:t>
            </w:r>
          </w:p>
        </w:tc>
        <w:tc>
          <w:tcPr>
            <w:tcW w:w="1134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材料上报</w:t>
            </w:r>
          </w:p>
        </w:tc>
        <w:tc>
          <w:tcPr>
            <w:tcW w:w="1505" w:type="dxa"/>
            <w:vMerge w:val="continue"/>
            <w:vAlign w:val="center"/>
          </w:tcPr>
          <w:p>
            <w:pPr>
              <w:spacing w:line="200" w:lineRule="exact"/>
              <w:rPr>
                <w:rFonts w:asci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</w:trPr>
        <w:tc>
          <w:tcPr>
            <w:tcW w:w="710" w:type="dxa"/>
            <w:vMerge w:val="continue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09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教育</w:t>
            </w:r>
          </w:p>
          <w:p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管理</w:t>
            </w:r>
          </w:p>
        </w:tc>
        <w:tc>
          <w:tcPr>
            <w:tcW w:w="1134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教学活动</w:t>
            </w:r>
          </w:p>
        </w:tc>
        <w:tc>
          <w:tcPr>
            <w:tcW w:w="708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7513" w:type="dxa"/>
            <w:vAlign w:val="center"/>
          </w:tcPr>
          <w:p>
            <w:pPr>
              <w:adjustRightInd w:val="0"/>
              <w:snapToGrid w:val="0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组织参与课堂教学评优和校本教研活动；组织开展市民自选课堂；因地制宜，开设自主课堂。</w:t>
            </w:r>
          </w:p>
        </w:tc>
        <w:tc>
          <w:tcPr>
            <w:tcW w:w="1134" w:type="dxa"/>
            <w:vMerge w:val="restart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过程性评价</w:t>
            </w:r>
          </w:p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资料查阅</w:t>
            </w:r>
          </w:p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数据汇总</w:t>
            </w:r>
          </w:p>
        </w:tc>
        <w:tc>
          <w:tcPr>
            <w:tcW w:w="1505" w:type="dxa"/>
            <w:vMerge w:val="restart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社区教育指导中心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7" w:hRule="atLeast"/>
        </w:trPr>
        <w:tc>
          <w:tcPr>
            <w:tcW w:w="710" w:type="dxa"/>
            <w:vMerge w:val="continue"/>
          </w:tcPr>
          <w:p>
            <w:pPr>
              <w:rPr>
                <w:rFonts w:ascii="宋体"/>
                <w:szCs w:val="21"/>
              </w:rPr>
            </w:pPr>
          </w:p>
        </w:tc>
        <w:tc>
          <w:tcPr>
            <w:tcW w:w="709" w:type="dxa"/>
            <w:vMerge w:val="continue"/>
            <w:vAlign w:val="center"/>
          </w:tcPr>
          <w:p>
            <w:pPr>
              <w:rPr>
                <w:rFonts w:ascii="宋体"/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教育科研</w:t>
            </w:r>
          </w:p>
        </w:tc>
        <w:tc>
          <w:tcPr>
            <w:tcW w:w="708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7513" w:type="dxa"/>
            <w:vAlign w:val="center"/>
          </w:tcPr>
          <w:p>
            <w:pPr>
              <w:adjustRightInd w:val="0"/>
              <w:snapToGrid w:val="0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完成各级课题或</w:t>
            </w:r>
            <w:r>
              <w:rPr>
                <w:szCs w:val="21"/>
              </w:rPr>
              <w:t>项目</w:t>
            </w:r>
            <w:r>
              <w:rPr>
                <w:rFonts w:hint="eastAsia"/>
                <w:szCs w:val="21"/>
              </w:rPr>
              <w:t>申报，参与市、区论文评比活动。</w:t>
            </w:r>
          </w:p>
        </w:tc>
        <w:tc>
          <w:tcPr>
            <w:tcW w:w="1134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05" w:type="dxa"/>
            <w:vMerge w:val="continue"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7" w:hRule="exact"/>
        </w:trPr>
        <w:tc>
          <w:tcPr>
            <w:tcW w:w="710" w:type="dxa"/>
            <w:vMerge w:val="continue"/>
          </w:tcPr>
          <w:p>
            <w:pPr>
              <w:rPr>
                <w:rFonts w:ascii="宋体"/>
                <w:szCs w:val="21"/>
              </w:rPr>
            </w:pPr>
          </w:p>
        </w:tc>
        <w:tc>
          <w:tcPr>
            <w:tcW w:w="709" w:type="dxa"/>
            <w:vMerge w:val="continue"/>
            <w:vAlign w:val="center"/>
          </w:tcPr>
          <w:p>
            <w:pPr>
              <w:rPr>
                <w:rFonts w:ascii="宋体"/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教务管理</w:t>
            </w:r>
          </w:p>
        </w:tc>
        <w:tc>
          <w:tcPr>
            <w:tcW w:w="708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7513" w:type="dxa"/>
            <w:vAlign w:val="center"/>
          </w:tcPr>
          <w:p>
            <w:pPr>
              <w:adjustRightInd w:val="0"/>
              <w:snapToGrid w:val="0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加强专兼职教师、办学干部等队伍建设，专职教师培训按要求推进，培训学时达到总量的</w:t>
            </w:r>
            <w:r>
              <w:rPr>
                <w:szCs w:val="21"/>
              </w:rPr>
              <w:t>100</w:t>
            </w:r>
            <w:r>
              <w:rPr>
                <w:rFonts w:hint="eastAsia"/>
                <w:szCs w:val="21"/>
              </w:rPr>
              <w:t>%；做好各级社区教育杂志、简报供稿与数据统计工作。</w:t>
            </w:r>
          </w:p>
        </w:tc>
        <w:tc>
          <w:tcPr>
            <w:tcW w:w="1134" w:type="dxa"/>
            <w:vMerge w:val="continue"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505" w:type="dxa"/>
            <w:vMerge w:val="continue"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9" w:hRule="atLeast"/>
        </w:trPr>
        <w:tc>
          <w:tcPr>
            <w:tcW w:w="710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  <w:b/>
                <w:szCs w:val="21"/>
              </w:rPr>
            </w:pPr>
            <w:r>
              <w:rPr>
                <w:rFonts w:hint="eastAsia" w:ascii="黑体" w:hAnsi="黑体" w:eastAsia="黑体"/>
                <w:b/>
                <w:szCs w:val="21"/>
              </w:rPr>
              <w:t>类别</w:t>
            </w:r>
          </w:p>
        </w:tc>
        <w:tc>
          <w:tcPr>
            <w:tcW w:w="709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  <w:b/>
                <w:szCs w:val="21"/>
              </w:rPr>
            </w:pPr>
            <w:r>
              <w:rPr>
                <w:rFonts w:hint="eastAsia" w:ascii="黑体" w:hAnsi="黑体" w:eastAsia="黑体"/>
                <w:b/>
                <w:szCs w:val="21"/>
              </w:rPr>
              <w:t>一级指标</w:t>
            </w:r>
          </w:p>
        </w:tc>
        <w:tc>
          <w:tcPr>
            <w:tcW w:w="1134" w:type="dxa"/>
            <w:vMerge w:val="restart"/>
            <w:vAlign w:val="center"/>
          </w:tcPr>
          <w:p>
            <w:pPr>
              <w:adjustRightInd w:val="0"/>
              <w:snapToGrid w:val="0"/>
              <w:jc w:val="center"/>
              <w:rPr>
                <w:rFonts w:ascii="黑体" w:hAnsi="黑体" w:eastAsia="黑体"/>
                <w:b/>
                <w:szCs w:val="21"/>
              </w:rPr>
            </w:pPr>
            <w:r>
              <w:rPr>
                <w:rFonts w:hint="eastAsia" w:ascii="黑体" w:hAnsi="黑体" w:eastAsia="黑体"/>
                <w:b/>
                <w:szCs w:val="21"/>
              </w:rPr>
              <w:t>二级</w:t>
            </w:r>
          </w:p>
          <w:p>
            <w:pPr>
              <w:adjustRightInd w:val="0"/>
              <w:snapToGrid w:val="0"/>
              <w:jc w:val="center"/>
              <w:rPr>
                <w:rFonts w:ascii="黑体" w:hAnsi="黑体" w:eastAsia="黑体"/>
                <w:b/>
                <w:szCs w:val="21"/>
              </w:rPr>
            </w:pPr>
            <w:r>
              <w:rPr>
                <w:rFonts w:hint="eastAsia" w:ascii="黑体" w:hAnsi="黑体" w:eastAsia="黑体"/>
                <w:b/>
                <w:szCs w:val="21"/>
              </w:rPr>
              <w:t>指标</w:t>
            </w:r>
          </w:p>
        </w:tc>
        <w:tc>
          <w:tcPr>
            <w:tcW w:w="1559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/>
                <w:b/>
                <w:szCs w:val="21"/>
              </w:rPr>
            </w:pPr>
            <w:r>
              <w:rPr>
                <w:rFonts w:hint="eastAsia" w:ascii="黑体" w:hAnsi="黑体" w:eastAsia="黑体"/>
                <w:b/>
                <w:szCs w:val="21"/>
              </w:rPr>
              <w:t>评价情况</w:t>
            </w:r>
          </w:p>
        </w:tc>
        <w:tc>
          <w:tcPr>
            <w:tcW w:w="7513" w:type="dxa"/>
            <w:vMerge w:val="restart"/>
            <w:vAlign w:val="center"/>
          </w:tcPr>
          <w:p>
            <w:pPr>
              <w:adjustRightInd w:val="0"/>
              <w:snapToGrid w:val="0"/>
              <w:jc w:val="center"/>
              <w:rPr>
                <w:rFonts w:ascii="黑体" w:hAnsi="黑体" w:eastAsia="黑体"/>
                <w:b/>
                <w:szCs w:val="21"/>
              </w:rPr>
            </w:pPr>
            <w:r>
              <w:rPr>
                <w:rFonts w:hint="eastAsia" w:ascii="黑体" w:hAnsi="黑体" w:eastAsia="黑体"/>
                <w:b/>
                <w:szCs w:val="21"/>
              </w:rPr>
              <w:t>评价要点</w:t>
            </w:r>
          </w:p>
        </w:tc>
        <w:tc>
          <w:tcPr>
            <w:tcW w:w="1134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  <w:b/>
                <w:szCs w:val="21"/>
              </w:rPr>
            </w:pPr>
            <w:r>
              <w:rPr>
                <w:rFonts w:hint="eastAsia" w:ascii="黑体" w:hAnsi="黑体" w:eastAsia="黑体"/>
                <w:b/>
                <w:szCs w:val="21"/>
              </w:rPr>
              <w:t>评价方式</w:t>
            </w:r>
          </w:p>
        </w:tc>
        <w:tc>
          <w:tcPr>
            <w:tcW w:w="1505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  <w:b/>
                <w:szCs w:val="21"/>
              </w:rPr>
            </w:pPr>
            <w:r>
              <w:rPr>
                <w:rFonts w:hint="eastAsia" w:ascii="黑体" w:hAnsi="黑体" w:eastAsia="黑体"/>
                <w:b/>
                <w:szCs w:val="21"/>
              </w:rPr>
              <w:t>主评部门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5" w:hRule="atLeast"/>
        </w:trPr>
        <w:tc>
          <w:tcPr>
            <w:tcW w:w="71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  <w:b/>
                <w:szCs w:val="21"/>
              </w:rPr>
            </w:pPr>
          </w:p>
        </w:tc>
        <w:tc>
          <w:tcPr>
            <w:tcW w:w="709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  <w:b/>
                <w:szCs w:val="21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rFonts w:ascii="黑体" w:hAnsi="黑体" w:eastAsia="黑体"/>
                <w:b/>
                <w:szCs w:val="21"/>
              </w:rPr>
            </w:pPr>
          </w:p>
        </w:tc>
        <w:tc>
          <w:tcPr>
            <w:tcW w:w="708" w:type="dxa"/>
            <w:vAlign w:val="center"/>
          </w:tcPr>
          <w:p>
            <w:pPr>
              <w:jc w:val="center"/>
              <w:rPr>
                <w:rFonts w:ascii="黑体" w:hAnsi="黑体" w:eastAsia="黑体"/>
                <w:b/>
                <w:szCs w:val="21"/>
              </w:rPr>
            </w:pPr>
            <w:r>
              <w:rPr>
                <w:rFonts w:hint="eastAsia" w:ascii="黑体" w:hAnsi="黑体" w:eastAsia="黑体"/>
                <w:b/>
                <w:szCs w:val="21"/>
              </w:rPr>
              <w:t>分值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rFonts w:ascii="黑体" w:hAnsi="黑体" w:eastAsia="黑体"/>
                <w:b/>
                <w:szCs w:val="21"/>
              </w:rPr>
            </w:pPr>
            <w:r>
              <w:rPr>
                <w:rFonts w:hint="eastAsia" w:ascii="黑体" w:hAnsi="黑体" w:eastAsia="黑体"/>
                <w:b/>
                <w:szCs w:val="21"/>
              </w:rPr>
              <w:t>得分</w:t>
            </w:r>
          </w:p>
        </w:tc>
        <w:tc>
          <w:tcPr>
            <w:tcW w:w="7513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rFonts w:ascii="黑体" w:hAnsi="黑体" w:eastAsia="黑体"/>
                <w:b/>
                <w:szCs w:val="21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  <w:b/>
                <w:szCs w:val="21"/>
              </w:rPr>
            </w:pPr>
          </w:p>
        </w:tc>
        <w:tc>
          <w:tcPr>
            <w:tcW w:w="1505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" w:hRule="atLeast"/>
        </w:trPr>
        <w:tc>
          <w:tcPr>
            <w:tcW w:w="710" w:type="dxa"/>
            <w:vMerge w:val="restart"/>
            <w:tcBorders>
              <w:bottom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发</w:t>
            </w:r>
          </w:p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展</w:t>
            </w:r>
          </w:p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性</w:t>
            </w:r>
          </w:p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指</w:t>
            </w:r>
          </w:p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标</w:t>
            </w:r>
          </w:p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100</w:t>
            </w:r>
          </w:p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分</w:t>
            </w:r>
          </w:p>
        </w:tc>
        <w:tc>
          <w:tcPr>
            <w:tcW w:w="709" w:type="dxa"/>
            <w:vMerge w:val="restart"/>
            <w:tcBorders>
              <w:bottom w:val="single" w:color="auto" w:sz="4" w:space="0"/>
            </w:tcBorders>
            <w:vAlign w:val="center"/>
          </w:tcPr>
          <w:p>
            <w:pPr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重点项目</w:t>
            </w:r>
            <w:r>
              <w:rPr>
                <w:rFonts w:ascii="宋体" w:hAnsi="宋体"/>
                <w:b/>
                <w:bCs/>
                <w:szCs w:val="21"/>
              </w:rPr>
              <w:t>45</w:t>
            </w:r>
            <w:r>
              <w:rPr>
                <w:rFonts w:hint="eastAsia" w:ascii="宋体" w:hAnsi="宋体"/>
                <w:b/>
                <w:bCs/>
                <w:szCs w:val="21"/>
              </w:rPr>
              <w:t>分</w:t>
            </w:r>
          </w:p>
        </w:tc>
        <w:tc>
          <w:tcPr>
            <w:tcW w:w="1134" w:type="dxa"/>
            <w:tcBorders>
              <w:bottom w:val="single" w:color="auto" w:sz="4" w:space="0"/>
            </w:tcBorders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学习型组织建设</w:t>
            </w:r>
          </w:p>
        </w:tc>
        <w:tc>
          <w:tcPr>
            <w:tcW w:w="708" w:type="dxa"/>
            <w:tcBorders>
              <w:bottom w:val="single" w:color="auto" w:sz="4" w:space="0"/>
            </w:tcBorders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5</w:t>
            </w:r>
          </w:p>
        </w:tc>
        <w:tc>
          <w:tcPr>
            <w:tcW w:w="851" w:type="dxa"/>
            <w:tcBorders>
              <w:bottom w:val="single" w:color="auto" w:sz="4" w:space="0"/>
            </w:tcBorders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7513" w:type="dxa"/>
            <w:tcBorders>
              <w:bottom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推进新型学习型组织建设，开展市学习型乡村试点及</w:t>
            </w:r>
            <w:r>
              <w:rPr>
                <w:szCs w:val="21"/>
              </w:rPr>
              <w:t>学习型</w:t>
            </w:r>
            <w:r>
              <w:rPr>
                <w:rFonts w:hint="eastAsia"/>
                <w:szCs w:val="21"/>
              </w:rPr>
              <w:t>企业、</w:t>
            </w:r>
            <w:r>
              <w:rPr>
                <w:szCs w:val="21"/>
              </w:rPr>
              <w:t>社区、团队、家庭</w:t>
            </w:r>
            <w:r>
              <w:rPr>
                <w:rFonts w:hint="eastAsia"/>
                <w:szCs w:val="21"/>
              </w:rPr>
              <w:t>建设。建设“上海学习型乡村建设品牌项目”。充分运用媒体宣传，在区级以上推广有影响力。</w:t>
            </w:r>
          </w:p>
        </w:tc>
        <w:tc>
          <w:tcPr>
            <w:tcW w:w="1134" w:type="dxa"/>
            <w:vMerge w:val="restart"/>
            <w:tcBorders>
              <w:bottom w:val="single" w:color="auto" w:sz="4" w:space="0"/>
            </w:tcBorders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专题汇报</w:t>
            </w:r>
          </w:p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过程性</w:t>
            </w:r>
            <w:r>
              <w:rPr>
                <w:rFonts w:ascii="宋体"/>
                <w:sz w:val="18"/>
                <w:szCs w:val="18"/>
              </w:rPr>
              <w:t>检查</w:t>
            </w:r>
          </w:p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资料查阅</w:t>
            </w:r>
          </w:p>
        </w:tc>
        <w:tc>
          <w:tcPr>
            <w:tcW w:w="1505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社区教育指导中心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3" w:hRule="atLeast"/>
        </w:trPr>
        <w:tc>
          <w:tcPr>
            <w:tcW w:w="710" w:type="dxa"/>
            <w:vMerge w:val="continue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09" w:type="dxa"/>
            <w:vMerge w:val="continue"/>
            <w:vAlign w:val="center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人文行走</w:t>
            </w:r>
          </w:p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项目</w:t>
            </w:r>
          </w:p>
        </w:tc>
        <w:tc>
          <w:tcPr>
            <w:tcW w:w="708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5</w:t>
            </w:r>
          </w:p>
        </w:tc>
        <w:tc>
          <w:tcPr>
            <w:tcW w:w="851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7513" w:type="dxa"/>
            <w:vAlign w:val="center"/>
          </w:tcPr>
          <w:p>
            <w:pPr>
              <w:adjustRightInd w:val="0"/>
              <w:snapToGrid w:val="0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丰富人文行走线路和“人文修身”学习点建设，市民参与率高。</w:t>
            </w:r>
          </w:p>
        </w:tc>
        <w:tc>
          <w:tcPr>
            <w:tcW w:w="1134" w:type="dxa"/>
            <w:vMerge w:val="continue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1505" w:type="dxa"/>
            <w:vAlign w:val="center"/>
          </w:tcPr>
          <w:p>
            <w:pPr>
              <w:adjustRightInd w:val="0"/>
              <w:snapToGrid w:val="0"/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成职教科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</w:trPr>
        <w:tc>
          <w:tcPr>
            <w:tcW w:w="710" w:type="dxa"/>
            <w:vMerge w:val="continue"/>
          </w:tcPr>
          <w:p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709" w:type="dxa"/>
            <w:vMerge w:val="continue"/>
            <w:vAlign w:val="center"/>
          </w:tcPr>
          <w:p>
            <w:pPr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继续教育</w:t>
            </w:r>
          </w:p>
        </w:tc>
        <w:tc>
          <w:tcPr>
            <w:tcW w:w="708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4</w:t>
            </w:r>
          </w:p>
        </w:tc>
        <w:tc>
          <w:tcPr>
            <w:tcW w:w="851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7513" w:type="dxa"/>
            <w:vAlign w:val="center"/>
          </w:tcPr>
          <w:p>
            <w:pPr>
              <w:adjustRightInd w:val="0"/>
              <w:snapToGrid w:val="0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全面落实“百万在岗人员学力提升”计划，协力开设有特色、讲公益、有实效的职业技能培训项目，在岗人员培训人次保持稳定。</w:t>
            </w:r>
          </w:p>
        </w:tc>
        <w:tc>
          <w:tcPr>
            <w:tcW w:w="1134" w:type="dxa"/>
            <w:vMerge w:val="restart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实地查看</w:t>
            </w:r>
          </w:p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评选结果</w:t>
            </w:r>
          </w:p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资料查阅</w:t>
            </w:r>
          </w:p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平台查询</w:t>
            </w:r>
          </w:p>
        </w:tc>
        <w:tc>
          <w:tcPr>
            <w:tcW w:w="1505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成职教科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</w:trPr>
        <w:tc>
          <w:tcPr>
            <w:tcW w:w="710" w:type="dxa"/>
            <w:vMerge w:val="continue"/>
          </w:tcPr>
          <w:p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709" w:type="dxa"/>
            <w:vMerge w:val="continue"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134" w:type="dxa"/>
            <w:vMerge w:val="restart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社区教育</w:t>
            </w:r>
          </w:p>
        </w:tc>
        <w:tc>
          <w:tcPr>
            <w:tcW w:w="708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/>
                <w:sz w:val="18"/>
                <w:szCs w:val="18"/>
              </w:rPr>
              <w:t>5</w:t>
            </w:r>
          </w:p>
        </w:tc>
        <w:tc>
          <w:tcPr>
            <w:tcW w:w="851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7513" w:type="dxa"/>
            <w:vAlign w:val="center"/>
          </w:tcPr>
          <w:p>
            <w:pPr>
              <w:adjustRightInd w:val="0"/>
              <w:snapToGrid w:val="0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实验项目实施效果明显，市、区论文评比按获奖情况评价。</w:t>
            </w:r>
          </w:p>
        </w:tc>
        <w:tc>
          <w:tcPr>
            <w:tcW w:w="1134" w:type="dxa"/>
            <w:vMerge w:val="continue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1505" w:type="dxa"/>
            <w:vMerge w:val="restart"/>
            <w:vAlign w:val="center"/>
          </w:tcPr>
          <w:p>
            <w:pPr>
              <w:adjustRightInd w:val="0"/>
              <w:snapToGrid w:val="0"/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社区教育</w:t>
            </w:r>
          </w:p>
          <w:p>
            <w:pPr>
              <w:adjustRightInd w:val="0"/>
              <w:snapToGrid w:val="0"/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指导中心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</w:trPr>
        <w:tc>
          <w:tcPr>
            <w:tcW w:w="710" w:type="dxa"/>
            <w:vMerge w:val="continue"/>
          </w:tcPr>
          <w:p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709" w:type="dxa"/>
            <w:vMerge w:val="continue"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/>
                <w:sz w:val="18"/>
                <w:szCs w:val="18"/>
              </w:rPr>
              <w:t>5</w:t>
            </w:r>
          </w:p>
        </w:tc>
        <w:tc>
          <w:tcPr>
            <w:tcW w:w="851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7513" w:type="dxa"/>
            <w:vAlign w:val="center"/>
          </w:tcPr>
          <w:p>
            <w:pPr>
              <w:adjustRightInd w:val="0"/>
              <w:snapToGrid w:val="0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积极培育社区学习坊。参与市“申学书院——市民大讲堂”学习活动。创建市</w:t>
            </w:r>
            <w:r>
              <w:rPr>
                <w:szCs w:val="21"/>
              </w:rPr>
              <w:t>、区</w:t>
            </w:r>
            <w:r>
              <w:rPr>
                <w:rFonts w:hint="eastAsia"/>
                <w:szCs w:val="21"/>
              </w:rPr>
              <w:t>社区教育终身学习品牌，培育社区教育志愿服务品牌，媒体宣传推广有成果。</w:t>
            </w:r>
          </w:p>
        </w:tc>
        <w:tc>
          <w:tcPr>
            <w:tcW w:w="1134" w:type="dxa"/>
            <w:vMerge w:val="continue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1505" w:type="dxa"/>
            <w:vMerge w:val="continue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</w:trPr>
        <w:tc>
          <w:tcPr>
            <w:tcW w:w="710" w:type="dxa"/>
            <w:vMerge w:val="continue"/>
          </w:tcPr>
          <w:p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709" w:type="dxa"/>
            <w:vMerge w:val="continue"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4</w:t>
            </w:r>
          </w:p>
        </w:tc>
        <w:tc>
          <w:tcPr>
            <w:tcW w:w="851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7513" w:type="dxa"/>
            <w:vAlign w:val="center"/>
          </w:tcPr>
          <w:p>
            <w:pPr>
              <w:adjustRightInd w:val="0"/>
              <w:snapToGrid w:val="0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加强数字化学习社区建设，开展市、区两级云视课堂等网上</w:t>
            </w:r>
            <w:r>
              <w:rPr>
                <w:szCs w:val="21"/>
              </w:rPr>
              <w:t>课程学习</w:t>
            </w:r>
            <w:r>
              <w:rPr>
                <w:rFonts w:hint="eastAsia"/>
                <w:szCs w:val="21"/>
              </w:rPr>
              <w:t>，推进“学哉嘉定”等教育信息化管理平台建设。</w:t>
            </w:r>
          </w:p>
        </w:tc>
        <w:tc>
          <w:tcPr>
            <w:tcW w:w="1134" w:type="dxa"/>
            <w:vMerge w:val="continue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1505" w:type="dxa"/>
            <w:vMerge w:val="continue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5" w:hRule="atLeast"/>
        </w:trPr>
        <w:tc>
          <w:tcPr>
            <w:tcW w:w="710" w:type="dxa"/>
            <w:vMerge w:val="continue"/>
          </w:tcPr>
          <w:p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709" w:type="dxa"/>
            <w:vMerge w:val="continue"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134" w:type="dxa"/>
            <w:vMerge w:val="restart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资源整合</w:t>
            </w:r>
          </w:p>
        </w:tc>
        <w:tc>
          <w:tcPr>
            <w:tcW w:w="708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/>
                <w:sz w:val="18"/>
                <w:szCs w:val="18"/>
              </w:rPr>
              <w:t>5</w:t>
            </w:r>
          </w:p>
        </w:tc>
        <w:tc>
          <w:tcPr>
            <w:tcW w:w="851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7513" w:type="dxa"/>
            <w:vAlign w:val="center"/>
          </w:tcPr>
          <w:p>
            <w:pPr>
              <w:adjustRightInd w:val="0"/>
              <w:snapToGrid w:val="0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推广区级居村示范学习点建设成果，推进市民学习体验基地建设；实施“燎原计划”项目，加强“三农”建设。</w:t>
            </w:r>
          </w:p>
        </w:tc>
        <w:tc>
          <w:tcPr>
            <w:tcW w:w="1134" w:type="dxa"/>
            <w:vMerge w:val="continue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1505" w:type="dxa"/>
            <w:vMerge w:val="continue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5" w:hRule="atLeast"/>
        </w:trPr>
        <w:tc>
          <w:tcPr>
            <w:tcW w:w="710" w:type="dxa"/>
            <w:vMerge w:val="continue"/>
          </w:tcPr>
          <w:p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709" w:type="dxa"/>
            <w:vMerge w:val="continue"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4</w:t>
            </w:r>
          </w:p>
        </w:tc>
        <w:tc>
          <w:tcPr>
            <w:tcW w:w="851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7513" w:type="dxa"/>
            <w:vAlign w:val="center"/>
          </w:tcPr>
          <w:p>
            <w:pPr>
              <w:adjustRightInd w:val="0"/>
              <w:snapToGrid w:val="0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参与区全民终身学习季和市全民终身学习周活动、市老年艺术节等活动。</w:t>
            </w:r>
          </w:p>
        </w:tc>
        <w:tc>
          <w:tcPr>
            <w:tcW w:w="1134" w:type="dxa"/>
            <w:vMerge w:val="continue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1505" w:type="dxa"/>
            <w:vMerge w:val="continue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5" w:hRule="atLeast"/>
        </w:trPr>
        <w:tc>
          <w:tcPr>
            <w:tcW w:w="710" w:type="dxa"/>
            <w:vMerge w:val="continue"/>
          </w:tcPr>
          <w:p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709" w:type="dxa"/>
            <w:vMerge w:val="continue"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134" w:type="dxa"/>
            <w:vMerge w:val="restart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倍增计划</w:t>
            </w:r>
          </w:p>
        </w:tc>
        <w:tc>
          <w:tcPr>
            <w:tcW w:w="708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4</w:t>
            </w:r>
          </w:p>
        </w:tc>
        <w:tc>
          <w:tcPr>
            <w:tcW w:w="851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7513" w:type="dxa"/>
            <w:vAlign w:val="center"/>
          </w:tcPr>
          <w:p>
            <w:pPr>
              <w:adjustRightInd w:val="0"/>
              <w:snapToGrid w:val="0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老年教育三类学习点（示范学习点、社会学习点、养教结合学习点）建设有成效，推进师资、课程共建共享。</w:t>
            </w:r>
          </w:p>
        </w:tc>
        <w:tc>
          <w:tcPr>
            <w:tcW w:w="1134" w:type="dxa"/>
            <w:vMerge w:val="continue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1505" w:type="dxa"/>
            <w:vMerge w:val="restart"/>
            <w:vAlign w:val="center"/>
          </w:tcPr>
          <w:p>
            <w:pPr>
              <w:adjustRightInd w:val="0"/>
              <w:snapToGrid w:val="0"/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成职教科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5" w:hRule="atLeast"/>
        </w:trPr>
        <w:tc>
          <w:tcPr>
            <w:tcW w:w="710" w:type="dxa"/>
            <w:vMerge w:val="continue"/>
          </w:tcPr>
          <w:p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709" w:type="dxa"/>
            <w:vMerge w:val="continue"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4</w:t>
            </w:r>
          </w:p>
        </w:tc>
        <w:tc>
          <w:tcPr>
            <w:tcW w:w="851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7513" w:type="dxa"/>
            <w:vAlign w:val="center"/>
          </w:tcPr>
          <w:p>
            <w:pPr>
              <w:adjustRightInd w:val="0"/>
              <w:snapToGrid w:val="0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完成星级老年学习团队和工作室建设任务，培育网上学习圈、移动学习群等各类新型学习团队。</w:t>
            </w:r>
          </w:p>
        </w:tc>
        <w:tc>
          <w:tcPr>
            <w:tcW w:w="1134" w:type="dxa"/>
            <w:vMerge w:val="continue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1505" w:type="dxa"/>
            <w:vMerge w:val="continue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710" w:type="dxa"/>
            <w:vMerge w:val="continue"/>
          </w:tcPr>
          <w:p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709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学校发展</w:t>
            </w:r>
          </w:p>
          <w:p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/>
                <w:b/>
                <w:bCs/>
                <w:szCs w:val="21"/>
              </w:rPr>
              <w:t>47</w:t>
            </w:r>
            <w:r>
              <w:rPr>
                <w:rFonts w:hint="eastAsia" w:ascii="宋体" w:hAnsi="宋体"/>
                <w:b/>
                <w:bCs/>
                <w:szCs w:val="21"/>
              </w:rPr>
              <w:t>分</w:t>
            </w:r>
          </w:p>
        </w:tc>
        <w:tc>
          <w:tcPr>
            <w:tcW w:w="1134" w:type="dxa"/>
            <w:vMerge w:val="restart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创建活动</w:t>
            </w:r>
          </w:p>
        </w:tc>
        <w:tc>
          <w:tcPr>
            <w:tcW w:w="708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/>
                <w:sz w:val="18"/>
                <w:szCs w:val="18"/>
              </w:rPr>
              <w:t>2</w:t>
            </w:r>
          </w:p>
        </w:tc>
        <w:tc>
          <w:tcPr>
            <w:tcW w:w="851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7513" w:type="dxa"/>
            <w:vAlign w:val="center"/>
          </w:tcPr>
          <w:p>
            <w:pPr>
              <w:adjustRightInd w:val="0"/>
              <w:snapToGrid w:val="0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充分</w:t>
            </w:r>
            <w:r>
              <w:rPr>
                <w:szCs w:val="21"/>
              </w:rPr>
              <w:t>运用各种媒体进行教育综合改革</w:t>
            </w:r>
            <w:r>
              <w:rPr>
                <w:rFonts w:hint="eastAsia"/>
                <w:szCs w:val="21"/>
              </w:rPr>
              <w:t>等</w:t>
            </w:r>
            <w:r>
              <w:rPr>
                <w:szCs w:val="21"/>
              </w:rPr>
              <w:t>方面的宣传，</w:t>
            </w:r>
            <w:r>
              <w:rPr>
                <w:rFonts w:hint="eastAsia"/>
                <w:szCs w:val="21"/>
              </w:rPr>
              <w:t>区域内辐射</w:t>
            </w:r>
            <w:r>
              <w:rPr>
                <w:szCs w:val="21"/>
              </w:rPr>
              <w:t>推广有影响力。</w:t>
            </w:r>
          </w:p>
        </w:tc>
        <w:tc>
          <w:tcPr>
            <w:tcW w:w="1134" w:type="dxa"/>
            <w:vMerge w:val="restart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评估</w:t>
            </w:r>
            <w:r>
              <w:rPr>
                <w:rFonts w:ascii="宋体"/>
                <w:sz w:val="18"/>
                <w:szCs w:val="18"/>
              </w:rPr>
              <w:t>验收</w:t>
            </w:r>
          </w:p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过程性</w:t>
            </w:r>
            <w:r>
              <w:rPr>
                <w:rFonts w:ascii="宋体"/>
                <w:sz w:val="18"/>
                <w:szCs w:val="18"/>
              </w:rPr>
              <w:t>检查</w:t>
            </w:r>
          </w:p>
        </w:tc>
        <w:tc>
          <w:tcPr>
            <w:tcW w:w="1505" w:type="dxa"/>
            <w:vMerge w:val="restart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党群科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710" w:type="dxa"/>
            <w:vMerge w:val="continue"/>
          </w:tcPr>
          <w:p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709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/>
                <w:sz w:val="18"/>
                <w:szCs w:val="18"/>
              </w:rPr>
              <w:t>2</w:t>
            </w:r>
          </w:p>
        </w:tc>
        <w:tc>
          <w:tcPr>
            <w:tcW w:w="851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7513" w:type="dxa"/>
            <w:vAlign w:val="center"/>
          </w:tcPr>
          <w:p>
            <w:pPr>
              <w:adjustRightInd w:val="0"/>
              <w:snapToGrid w:val="0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积极开展文明单位创建和师德教育活动。</w:t>
            </w:r>
          </w:p>
        </w:tc>
        <w:tc>
          <w:tcPr>
            <w:tcW w:w="1134" w:type="dxa"/>
            <w:vMerge w:val="continue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1505" w:type="dxa"/>
            <w:vMerge w:val="continue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710" w:type="dxa"/>
            <w:vMerge w:val="continue"/>
          </w:tcPr>
          <w:p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709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/>
                <w:sz w:val="18"/>
                <w:szCs w:val="18"/>
              </w:rPr>
              <w:t>1</w:t>
            </w:r>
          </w:p>
        </w:tc>
        <w:tc>
          <w:tcPr>
            <w:tcW w:w="851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7513" w:type="dxa"/>
            <w:vAlign w:val="center"/>
          </w:tcPr>
          <w:p>
            <w:pPr>
              <w:adjustRightInd w:val="0"/>
              <w:snapToGrid w:val="0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积极总结学校工作特色经验，嘉定教育信息报送工作成效显著。</w:t>
            </w:r>
          </w:p>
        </w:tc>
        <w:tc>
          <w:tcPr>
            <w:tcW w:w="1134" w:type="dxa"/>
            <w:vMerge w:val="continue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1505" w:type="dxa"/>
            <w:vAlign w:val="center"/>
          </w:tcPr>
          <w:p>
            <w:pPr>
              <w:adjustRightInd w:val="0"/>
              <w:snapToGrid w:val="0"/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办公室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710" w:type="dxa"/>
            <w:vMerge w:val="continue"/>
          </w:tcPr>
          <w:p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709" w:type="dxa"/>
            <w:vMerge w:val="continue"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改进计划</w:t>
            </w:r>
          </w:p>
        </w:tc>
        <w:tc>
          <w:tcPr>
            <w:tcW w:w="708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10</w:t>
            </w:r>
          </w:p>
        </w:tc>
        <w:tc>
          <w:tcPr>
            <w:tcW w:w="851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7513" w:type="dxa"/>
            <w:vAlign w:val="center"/>
          </w:tcPr>
          <w:p>
            <w:pPr>
              <w:adjustRightInd w:val="0"/>
              <w:snapToGrid w:val="0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完善落实学校改进计划，确保改进项目实施有明显成效。</w:t>
            </w:r>
          </w:p>
        </w:tc>
        <w:tc>
          <w:tcPr>
            <w:tcW w:w="1134" w:type="dxa"/>
            <w:vMerge w:val="restart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过程性</w:t>
            </w:r>
            <w:r>
              <w:rPr>
                <w:rFonts w:ascii="宋体"/>
                <w:sz w:val="18"/>
                <w:szCs w:val="18"/>
              </w:rPr>
              <w:t>检查</w:t>
            </w:r>
          </w:p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资料查阅</w:t>
            </w:r>
          </w:p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材料汇报</w:t>
            </w:r>
          </w:p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数据汇总</w:t>
            </w:r>
          </w:p>
        </w:tc>
        <w:tc>
          <w:tcPr>
            <w:tcW w:w="1505" w:type="dxa"/>
            <w:vMerge w:val="restart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成职教科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710" w:type="dxa"/>
            <w:vMerge w:val="continue"/>
          </w:tcPr>
          <w:p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709" w:type="dxa"/>
            <w:vMerge w:val="continue"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学习点建设</w:t>
            </w:r>
          </w:p>
        </w:tc>
        <w:tc>
          <w:tcPr>
            <w:tcW w:w="708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6</w:t>
            </w:r>
          </w:p>
        </w:tc>
        <w:tc>
          <w:tcPr>
            <w:tcW w:w="851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7513" w:type="dxa"/>
            <w:vAlign w:val="center"/>
          </w:tcPr>
          <w:p>
            <w:pPr>
              <w:adjustRightInd w:val="0"/>
              <w:snapToGrid w:val="0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完成年度村居委老年人标准化学习点建设任务，确保经费投入。</w:t>
            </w:r>
          </w:p>
        </w:tc>
        <w:tc>
          <w:tcPr>
            <w:tcW w:w="1134" w:type="dxa"/>
            <w:vMerge w:val="continue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1505" w:type="dxa"/>
            <w:vMerge w:val="continue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710" w:type="dxa"/>
            <w:vMerge w:val="continue"/>
          </w:tcPr>
          <w:p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709" w:type="dxa"/>
            <w:vMerge w:val="continue"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老年学校</w:t>
            </w:r>
          </w:p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建设</w:t>
            </w:r>
          </w:p>
        </w:tc>
        <w:tc>
          <w:tcPr>
            <w:tcW w:w="708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4</w:t>
            </w:r>
          </w:p>
        </w:tc>
        <w:tc>
          <w:tcPr>
            <w:tcW w:w="851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7513" w:type="dxa"/>
            <w:vAlign w:val="center"/>
          </w:tcPr>
          <w:p>
            <w:pPr>
              <w:adjustRightInd w:val="0"/>
              <w:snapToGrid w:val="0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推进街镇老年学校能力提升工程，做好老年教育机构标准化建设，进一步挖掘潜能，优化内部设置，提高办学水平。</w:t>
            </w:r>
          </w:p>
        </w:tc>
        <w:tc>
          <w:tcPr>
            <w:tcW w:w="1134" w:type="dxa"/>
            <w:vMerge w:val="continue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1505" w:type="dxa"/>
            <w:vMerge w:val="continue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710" w:type="dxa"/>
            <w:vMerge w:val="continue"/>
          </w:tcPr>
          <w:p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709" w:type="dxa"/>
            <w:vMerge w:val="continue"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134" w:type="dxa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内涵建设</w:t>
            </w:r>
          </w:p>
        </w:tc>
        <w:tc>
          <w:tcPr>
            <w:tcW w:w="708" w:type="dxa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/>
                <w:sz w:val="18"/>
                <w:szCs w:val="18"/>
              </w:rPr>
              <w:t>7</w:t>
            </w:r>
          </w:p>
        </w:tc>
        <w:tc>
          <w:tcPr>
            <w:tcW w:w="851" w:type="dxa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7513" w:type="dxa"/>
          </w:tcPr>
          <w:p>
            <w:pPr>
              <w:adjustRightInd w:val="0"/>
              <w:snapToGrid w:val="0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积极创建上海市街镇社区（老年）学校内涵建设优质校。学校内涵建设特色校创建，学校内涵建设有措施、有成效。</w:t>
            </w:r>
          </w:p>
        </w:tc>
        <w:tc>
          <w:tcPr>
            <w:tcW w:w="1134" w:type="dxa"/>
            <w:vMerge w:val="continue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1505" w:type="dxa"/>
            <w:vMerge w:val="continue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710" w:type="dxa"/>
            <w:vMerge w:val="continue"/>
          </w:tcPr>
          <w:p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709" w:type="dxa"/>
            <w:vMerge w:val="continue"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课程开发</w:t>
            </w:r>
          </w:p>
        </w:tc>
        <w:tc>
          <w:tcPr>
            <w:tcW w:w="708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/>
                <w:sz w:val="18"/>
                <w:szCs w:val="18"/>
              </w:rPr>
              <w:t>5</w:t>
            </w:r>
          </w:p>
        </w:tc>
        <w:tc>
          <w:tcPr>
            <w:tcW w:w="851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7513" w:type="dxa"/>
            <w:vAlign w:val="center"/>
          </w:tcPr>
          <w:p>
            <w:pPr>
              <w:adjustRightInd w:val="0"/>
              <w:snapToGrid w:val="0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开展数字化课程和区本课程资源的开发、推广与运用；加强</w:t>
            </w:r>
            <w:r>
              <w:rPr>
                <w:szCs w:val="21"/>
              </w:rPr>
              <w:t>市、区级资源</w:t>
            </w:r>
            <w:r>
              <w:rPr>
                <w:rFonts w:hint="eastAsia"/>
                <w:szCs w:val="21"/>
              </w:rPr>
              <w:t>配送管理，有</w:t>
            </w:r>
            <w:r>
              <w:rPr>
                <w:szCs w:val="21"/>
              </w:rPr>
              <w:t>资源展示区</w:t>
            </w:r>
            <w:r>
              <w:rPr>
                <w:rFonts w:hint="eastAsia"/>
                <w:szCs w:val="21"/>
              </w:rPr>
              <w:t>、配送记录。</w:t>
            </w:r>
          </w:p>
        </w:tc>
        <w:tc>
          <w:tcPr>
            <w:tcW w:w="1134" w:type="dxa"/>
            <w:vMerge w:val="continue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1505" w:type="dxa"/>
            <w:vMerge w:val="restart"/>
            <w:vAlign w:val="center"/>
          </w:tcPr>
          <w:p>
            <w:pPr>
              <w:adjustRightInd w:val="0"/>
              <w:snapToGrid w:val="0"/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社区教育指导中心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" w:hRule="atLeast"/>
        </w:trPr>
        <w:tc>
          <w:tcPr>
            <w:tcW w:w="710" w:type="dxa"/>
            <w:vMerge w:val="continue"/>
          </w:tcPr>
          <w:p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709" w:type="dxa"/>
            <w:vMerge w:val="continue"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获奖情况</w:t>
            </w:r>
          </w:p>
        </w:tc>
        <w:tc>
          <w:tcPr>
            <w:tcW w:w="708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/>
                <w:sz w:val="18"/>
                <w:szCs w:val="18"/>
              </w:rPr>
              <w:t>5</w:t>
            </w:r>
          </w:p>
        </w:tc>
        <w:tc>
          <w:tcPr>
            <w:tcW w:w="851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7513" w:type="dxa"/>
            <w:vAlign w:val="center"/>
          </w:tcPr>
          <w:p>
            <w:pPr>
              <w:adjustRightInd w:val="0"/>
              <w:snapToGrid w:val="0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根据学校获奖情况评价。</w:t>
            </w:r>
          </w:p>
        </w:tc>
        <w:tc>
          <w:tcPr>
            <w:tcW w:w="1134" w:type="dxa"/>
            <w:vMerge w:val="continue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1505" w:type="dxa"/>
            <w:vMerge w:val="continue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" w:hRule="atLeast"/>
        </w:trPr>
        <w:tc>
          <w:tcPr>
            <w:tcW w:w="710" w:type="dxa"/>
            <w:vMerge w:val="continue"/>
          </w:tcPr>
          <w:p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709" w:type="dxa"/>
            <w:vMerge w:val="continue"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办学特色</w:t>
            </w:r>
          </w:p>
        </w:tc>
        <w:tc>
          <w:tcPr>
            <w:tcW w:w="708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5</w:t>
            </w:r>
          </w:p>
        </w:tc>
        <w:tc>
          <w:tcPr>
            <w:tcW w:w="851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7513" w:type="dxa"/>
            <w:vAlign w:val="center"/>
          </w:tcPr>
          <w:p>
            <w:pPr>
              <w:adjustRightInd w:val="0"/>
              <w:snapToGrid w:val="0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有顶层设计，与学校文化、培养目标紧密融合，符合学校实际；得到师生、社会的广泛认可，师生参与度高，年度创建成效明显。</w:t>
            </w:r>
          </w:p>
        </w:tc>
        <w:tc>
          <w:tcPr>
            <w:tcW w:w="1134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过程性</w:t>
            </w:r>
            <w:r>
              <w:rPr>
                <w:rFonts w:ascii="宋体"/>
                <w:sz w:val="18"/>
                <w:szCs w:val="18"/>
              </w:rPr>
              <w:t>检查</w:t>
            </w:r>
          </w:p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资料查阅</w:t>
            </w:r>
          </w:p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实地</w:t>
            </w:r>
            <w:r>
              <w:rPr>
                <w:rFonts w:ascii="宋体"/>
                <w:sz w:val="18"/>
                <w:szCs w:val="18"/>
              </w:rPr>
              <w:t>督查</w:t>
            </w:r>
          </w:p>
        </w:tc>
        <w:tc>
          <w:tcPr>
            <w:tcW w:w="1505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督导室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" w:hRule="atLeast"/>
        </w:trPr>
        <w:tc>
          <w:tcPr>
            <w:tcW w:w="710" w:type="dxa"/>
            <w:vMerge w:val="continue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09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社会评价</w:t>
            </w:r>
          </w:p>
          <w:p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/>
                <w:b/>
                <w:bCs/>
                <w:szCs w:val="21"/>
              </w:rPr>
              <w:t>8</w:t>
            </w:r>
            <w:r>
              <w:rPr>
                <w:rFonts w:hint="eastAsia" w:ascii="宋体" w:hAnsi="宋体"/>
                <w:b/>
                <w:bCs/>
                <w:szCs w:val="21"/>
              </w:rPr>
              <w:t>分</w:t>
            </w:r>
          </w:p>
        </w:tc>
        <w:tc>
          <w:tcPr>
            <w:tcW w:w="1134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局分管领导评价</w:t>
            </w:r>
          </w:p>
        </w:tc>
        <w:tc>
          <w:tcPr>
            <w:tcW w:w="708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/>
                <w:sz w:val="18"/>
                <w:szCs w:val="18"/>
              </w:rPr>
              <w:t>5</w:t>
            </w:r>
          </w:p>
        </w:tc>
        <w:tc>
          <w:tcPr>
            <w:tcW w:w="851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7513" w:type="dxa"/>
            <w:vAlign w:val="center"/>
          </w:tcPr>
          <w:p>
            <w:pPr>
              <w:adjustRightInd w:val="0"/>
              <w:snapToGrid w:val="0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根据学校工作实绩评价。</w:t>
            </w:r>
          </w:p>
        </w:tc>
        <w:tc>
          <w:tcPr>
            <w:tcW w:w="1134" w:type="dxa"/>
            <w:vMerge w:val="restart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过程性</w:t>
            </w:r>
            <w:r>
              <w:rPr>
                <w:rFonts w:ascii="宋体"/>
                <w:sz w:val="18"/>
                <w:szCs w:val="18"/>
              </w:rPr>
              <w:t>检查等</w:t>
            </w:r>
          </w:p>
        </w:tc>
        <w:tc>
          <w:tcPr>
            <w:tcW w:w="1505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局领导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</w:trPr>
        <w:tc>
          <w:tcPr>
            <w:tcW w:w="710" w:type="dxa"/>
            <w:vMerge w:val="continue"/>
          </w:tcPr>
          <w:p>
            <w:pPr>
              <w:rPr>
                <w:rFonts w:ascii="宋体"/>
                <w:szCs w:val="21"/>
              </w:rPr>
            </w:pPr>
          </w:p>
        </w:tc>
        <w:tc>
          <w:tcPr>
            <w:tcW w:w="709" w:type="dxa"/>
            <w:vMerge w:val="continue"/>
            <w:vAlign w:val="center"/>
          </w:tcPr>
          <w:p>
            <w:pPr>
              <w:rPr>
                <w:rFonts w:ascii="宋体"/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街镇分管</w:t>
            </w:r>
          </w:p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领导评价</w:t>
            </w:r>
          </w:p>
        </w:tc>
        <w:tc>
          <w:tcPr>
            <w:tcW w:w="708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/>
                <w:sz w:val="18"/>
                <w:szCs w:val="18"/>
              </w:rPr>
              <w:t>3</w:t>
            </w:r>
          </w:p>
        </w:tc>
        <w:tc>
          <w:tcPr>
            <w:tcW w:w="851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7513" w:type="dxa"/>
            <w:vAlign w:val="center"/>
          </w:tcPr>
          <w:p>
            <w:pPr>
              <w:adjustRightInd w:val="0"/>
              <w:snapToGrid w:val="0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根据学校工作实绩评价。</w:t>
            </w:r>
          </w:p>
        </w:tc>
        <w:tc>
          <w:tcPr>
            <w:tcW w:w="1134" w:type="dxa"/>
            <w:vMerge w:val="continue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1505" w:type="dxa"/>
            <w:vAlign w:val="center"/>
          </w:tcPr>
          <w:p>
            <w:pPr>
              <w:adjustRightInd w:val="0"/>
              <w:snapToGrid w:val="0"/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街镇领导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7" w:hRule="atLeast"/>
        </w:trPr>
        <w:tc>
          <w:tcPr>
            <w:tcW w:w="710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  <w:b/>
                <w:szCs w:val="21"/>
              </w:rPr>
            </w:pPr>
            <w:r>
              <w:rPr>
                <w:rFonts w:hint="eastAsia" w:ascii="黑体" w:hAnsi="黑体" w:eastAsia="黑体"/>
                <w:b/>
                <w:szCs w:val="21"/>
              </w:rPr>
              <w:t>类别</w:t>
            </w:r>
          </w:p>
        </w:tc>
        <w:tc>
          <w:tcPr>
            <w:tcW w:w="1843" w:type="dxa"/>
            <w:gridSpan w:val="2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  <w:b/>
                <w:szCs w:val="21"/>
              </w:rPr>
            </w:pPr>
            <w:r>
              <w:rPr>
                <w:rFonts w:hint="eastAsia" w:ascii="黑体" w:hAnsi="黑体" w:eastAsia="黑体"/>
                <w:b/>
                <w:szCs w:val="21"/>
              </w:rPr>
              <w:t>一级指标</w:t>
            </w:r>
          </w:p>
        </w:tc>
        <w:tc>
          <w:tcPr>
            <w:tcW w:w="1559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/>
                <w:b/>
                <w:szCs w:val="21"/>
              </w:rPr>
            </w:pPr>
            <w:r>
              <w:rPr>
                <w:rFonts w:hint="eastAsia" w:ascii="黑体" w:hAnsi="黑体" w:eastAsia="黑体"/>
                <w:b/>
                <w:szCs w:val="21"/>
              </w:rPr>
              <w:t>评价情况</w:t>
            </w:r>
          </w:p>
        </w:tc>
        <w:tc>
          <w:tcPr>
            <w:tcW w:w="7513" w:type="dxa"/>
            <w:vMerge w:val="restart"/>
            <w:vAlign w:val="center"/>
          </w:tcPr>
          <w:p>
            <w:pPr>
              <w:adjustRightInd w:val="0"/>
              <w:snapToGrid w:val="0"/>
              <w:jc w:val="center"/>
              <w:rPr>
                <w:rFonts w:ascii="黑体" w:hAnsi="黑体" w:eastAsia="黑体"/>
                <w:b/>
                <w:szCs w:val="21"/>
              </w:rPr>
            </w:pPr>
            <w:r>
              <w:rPr>
                <w:rFonts w:hint="eastAsia" w:ascii="黑体" w:hAnsi="黑体" w:eastAsia="黑体"/>
                <w:b/>
                <w:szCs w:val="21"/>
              </w:rPr>
              <w:t>评价要点</w:t>
            </w:r>
          </w:p>
        </w:tc>
        <w:tc>
          <w:tcPr>
            <w:tcW w:w="1134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  <w:b/>
                <w:szCs w:val="21"/>
              </w:rPr>
            </w:pPr>
            <w:r>
              <w:rPr>
                <w:rFonts w:hint="eastAsia" w:ascii="黑体" w:hAnsi="黑体" w:eastAsia="黑体"/>
                <w:b/>
                <w:szCs w:val="21"/>
              </w:rPr>
              <w:t>评价方式</w:t>
            </w:r>
          </w:p>
        </w:tc>
        <w:tc>
          <w:tcPr>
            <w:tcW w:w="1505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  <w:b/>
                <w:szCs w:val="21"/>
              </w:rPr>
            </w:pPr>
            <w:r>
              <w:rPr>
                <w:rFonts w:hint="eastAsia" w:ascii="黑体" w:hAnsi="黑体" w:eastAsia="黑体"/>
                <w:b/>
                <w:szCs w:val="21"/>
              </w:rPr>
              <w:t>主评部门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</w:trPr>
        <w:tc>
          <w:tcPr>
            <w:tcW w:w="710" w:type="dxa"/>
            <w:vMerge w:val="continue"/>
          </w:tcPr>
          <w:p>
            <w:pPr>
              <w:jc w:val="center"/>
              <w:rPr>
                <w:rFonts w:ascii="黑体" w:hAnsi="黑体" w:eastAsia="黑体"/>
                <w:b/>
                <w:szCs w:val="21"/>
              </w:rPr>
            </w:pPr>
          </w:p>
        </w:tc>
        <w:tc>
          <w:tcPr>
            <w:tcW w:w="1843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  <w:b/>
                <w:szCs w:val="21"/>
              </w:rPr>
            </w:pPr>
          </w:p>
        </w:tc>
        <w:tc>
          <w:tcPr>
            <w:tcW w:w="708" w:type="dxa"/>
            <w:vAlign w:val="center"/>
          </w:tcPr>
          <w:p>
            <w:pPr>
              <w:jc w:val="center"/>
              <w:rPr>
                <w:rFonts w:ascii="黑体" w:hAnsi="黑体" w:eastAsia="黑体"/>
                <w:b/>
              </w:rPr>
            </w:pPr>
            <w:r>
              <w:rPr>
                <w:rFonts w:hint="eastAsia" w:ascii="黑体" w:hAnsi="黑体" w:eastAsia="黑体"/>
                <w:b/>
              </w:rPr>
              <w:t>是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rFonts w:ascii="黑体" w:hAnsi="黑体" w:eastAsia="黑体"/>
                <w:b/>
                <w:szCs w:val="21"/>
              </w:rPr>
            </w:pPr>
            <w:r>
              <w:rPr>
                <w:rFonts w:hint="eastAsia" w:ascii="黑体" w:hAnsi="黑体" w:eastAsia="黑体"/>
                <w:b/>
                <w:szCs w:val="21"/>
              </w:rPr>
              <w:t>否</w:t>
            </w:r>
          </w:p>
        </w:tc>
        <w:tc>
          <w:tcPr>
            <w:tcW w:w="7513" w:type="dxa"/>
            <w:vMerge w:val="continue"/>
            <w:vAlign w:val="center"/>
          </w:tcPr>
          <w:p>
            <w:pPr>
              <w:adjustRightInd w:val="0"/>
              <w:snapToGrid w:val="0"/>
              <w:jc w:val="left"/>
              <w:rPr>
                <w:rFonts w:ascii="黑体" w:hAnsi="黑体" w:eastAsia="黑体"/>
                <w:b/>
              </w:rPr>
            </w:pPr>
          </w:p>
        </w:tc>
        <w:tc>
          <w:tcPr>
            <w:tcW w:w="1134" w:type="dxa"/>
            <w:vMerge w:val="continue"/>
          </w:tcPr>
          <w:p>
            <w:pPr>
              <w:jc w:val="center"/>
              <w:rPr>
                <w:rFonts w:ascii="黑体" w:hAnsi="黑体" w:eastAsia="黑体"/>
                <w:b/>
                <w:szCs w:val="21"/>
              </w:rPr>
            </w:pPr>
          </w:p>
        </w:tc>
        <w:tc>
          <w:tcPr>
            <w:tcW w:w="1505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3" w:hRule="atLeast"/>
        </w:trPr>
        <w:tc>
          <w:tcPr>
            <w:tcW w:w="71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警</w:t>
            </w:r>
          </w:p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戒</w:t>
            </w:r>
          </w:p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性</w:t>
            </w:r>
          </w:p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指</w:t>
            </w:r>
          </w:p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标</w:t>
            </w:r>
          </w:p>
        </w:tc>
        <w:tc>
          <w:tcPr>
            <w:tcW w:w="1843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党风廉政</w:t>
            </w:r>
          </w:p>
        </w:tc>
        <w:tc>
          <w:tcPr>
            <w:tcW w:w="708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7513" w:type="dxa"/>
            <w:vAlign w:val="center"/>
          </w:tcPr>
          <w:p>
            <w:pPr>
              <w:adjustRightInd w:val="0"/>
              <w:snapToGrid w:val="0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无违反政治纪律和政治规矩行为，无</w:t>
            </w:r>
            <w:r>
              <w:rPr>
                <w:rFonts w:asciiTheme="minorEastAsia" w:hAnsiTheme="minorEastAsia" w:eastAsiaTheme="minorEastAsia"/>
                <w:szCs w:val="21"/>
              </w:rPr>
              <w:t>选人用人领域严重违规行为，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无党员、教职工违纪违法行为。</w:t>
            </w:r>
          </w:p>
        </w:tc>
        <w:tc>
          <w:tcPr>
            <w:tcW w:w="1134" w:type="dxa"/>
            <w:vMerge w:val="restart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日常检查</w:t>
            </w:r>
          </w:p>
        </w:tc>
        <w:tc>
          <w:tcPr>
            <w:tcW w:w="1505" w:type="dxa"/>
            <w:vMerge w:val="restart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党群科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3" w:hRule="atLeast"/>
        </w:trPr>
        <w:tc>
          <w:tcPr>
            <w:tcW w:w="710" w:type="dxa"/>
            <w:vMerge w:val="continue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43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思想教育</w:t>
            </w:r>
          </w:p>
        </w:tc>
        <w:tc>
          <w:tcPr>
            <w:tcW w:w="708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7513" w:type="dxa"/>
            <w:vAlign w:val="center"/>
          </w:tcPr>
          <w:p>
            <w:pPr>
              <w:adjustRightInd w:val="0"/>
              <w:snapToGrid w:val="0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无意识形态领域内造成不良后果事件。</w:t>
            </w:r>
          </w:p>
        </w:tc>
        <w:tc>
          <w:tcPr>
            <w:tcW w:w="1134" w:type="dxa"/>
            <w:vMerge w:val="continue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1505" w:type="dxa"/>
            <w:vMerge w:val="continue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</w:trPr>
        <w:tc>
          <w:tcPr>
            <w:tcW w:w="710" w:type="dxa"/>
            <w:vMerge w:val="continue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43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招生收费</w:t>
            </w:r>
          </w:p>
        </w:tc>
        <w:tc>
          <w:tcPr>
            <w:tcW w:w="708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7513" w:type="dxa"/>
            <w:vAlign w:val="center"/>
          </w:tcPr>
          <w:p>
            <w:pPr>
              <w:adjustRightInd w:val="0"/>
              <w:snapToGrid w:val="0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无违规招生、违规收费、违规办班。</w:t>
            </w:r>
          </w:p>
        </w:tc>
        <w:tc>
          <w:tcPr>
            <w:tcW w:w="1134" w:type="dxa"/>
            <w:vMerge w:val="continue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1505" w:type="dxa"/>
            <w:vAlign w:val="center"/>
          </w:tcPr>
          <w:p>
            <w:pPr>
              <w:adjustRightInd w:val="0"/>
              <w:snapToGrid w:val="0"/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成职教科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3" w:hRule="atLeast"/>
        </w:trPr>
        <w:tc>
          <w:tcPr>
            <w:tcW w:w="710" w:type="dxa"/>
            <w:vMerge w:val="continue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43" w:type="dxa"/>
            <w:gridSpan w:val="2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安全卫生</w:t>
            </w:r>
          </w:p>
        </w:tc>
        <w:tc>
          <w:tcPr>
            <w:tcW w:w="708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7513" w:type="dxa"/>
            <w:vAlign w:val="center"/>
          </w:tcPr>
          <w:p>
            <w:pPr>
              <w:adjustRightInd w:val="0"/>
              <w:snapToGrid w:val="0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无重大校园安全责任事故。</w:t>
            </w:r>
          </w:p>
        </w:tc>
        <w:tc>
          <w:tcPr>
            <w:tcW w:w="1134" w:type="dxa"/>
            <w:vMerge w:val="continue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1505" w:type="dxa"/>
            <w:vAlign w:val="center"/>
          </w:tcPr>
          <w:p>
            <w:pPr>
              <w:adjustRightInd w:val="0"/>
              <w:snapToGrid w:val="0"/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教育事务服务中心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</w:trPr>
        <w:tc>
          <w:tcPr>
            <w:tcW w:w="710" w:type="dxa"/>
            <w:vMerge w:val="continue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43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708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7513" w:type="dxa"/>
            <w:vAlign w:val="center"/>
          </w:tcPr>
          <w:p>
            <w:pPr>
              <w:adjustRightInd w:val="0"/>
              <w:snapToGrid w:val="0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无重大食品安全责任事故、无重大传染病防控失误。</w:t>
            </w:r>
          </w:p>
        </w:tc>
        <w:tc>
          <w:tcPr>
            <w:tcW w:w="1134" w:type="dxa"/>
            <w:vMerge w:val="continue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1505" w:type="dxa"/>
            <w:vAlign w:val="center"/>
          </w:tcPr>
          <w:p>
            <w:pPr>
              <w:adjustRightInd w:val="0"/>
              <w:snapToGrid w:val="0"/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体卫科艺科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" w:hRule="atLeast"/>
        </w:trPr>
        <w:tc>
          <w:tcPr>
            <w:tcW w:w="710" w:type="dxa"/>
            <w:vMerge w:val="continue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43" w:type="dxa"/>
            <w:gridSpan w:val="2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财物资产</w:t>
            </w:r>
          </w:p>
        </w:tc>
        <w:tc>
          <w:tcPr>
            <w:tcW w:w="708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7513" w:type="dxa"/>
            <w:vAlign w:val="center"/>
          </w:tcPr>
          <w:p>
            <w:pPr>
              <w:adjustRightInd w:val="0"/>
              <w:snapToGrid w:val="0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无重大违规使用教育经费等问题。</w:t>
            </w:r>
          </w:p>
        </w:tc>
        <w:tc>
          <w:tcPr>
            <w:tcW w:w="1134" w:type="dxa"/>
            <w:vMerge w:val="continue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1505" w:type="dxa"/>
            <w:vAlign w:val="center"/>
          </w:tcPr>
          <w:p>
            <w:pPr>
              <w:adjustRightInd w:val="0"/>
              <w:snapToGrid w:val="0"/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计财科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3" w:hRule="atLeast"/>
        </w:trPr>
        <w:tc>
          <w:tcPr>
            <w:tcW w:w="710" w:type="dxa"/>
            <w:vMerge w:val="continue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43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708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7513" w:type="dxa"/>
            <w:vAlign w:val="center"/>
          </w:tcPr>
          <w:p>
            <w:pPr>
              <w:adjustRightInd w:val="0"/>
              <w:snapToGrid w:val="0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无重大违规采购货物、信息化项目及违规使用公务车辆等问题。</w:t>
            </w:r>
          </w:p>
        </w:tc>
        <w:tc>
          <w:tcPr>
            <w:tcW w:w="1134" w:type="dxa"/>
            <w:vMerge w:val="continue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1505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教育资产与财务核算中心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710" w:type="dxa"/>
            <w:vMerge w:val="continue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43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师德师风</w:t>
            </w:r>
          </w:p>
        </w:tc>
        <w:tc>
          <w:tcPr>
            <w:tcW w:w="708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7513" w:type="dxa"/>
            <w:vAlign w:val="center"/>
          </w:tcPr>
          <w:p>
            <w:pPr>
              <w:adjustRightInd w:val="0"/>
              <w:snapToGrid w:val="0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无师德失范行为，未出现严重师德师风问题。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1505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党群科</w:t>
            </w:r>
          </w:p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人事科</w:t>
            </w:r>
          </w:p>
        </w:tc>
      </w:tr>
    </w:tbl>
    <w:p>
      <w:pPr>
        <w:jc w:val="center"/>
        <w:rPr>
          <w:rFonts w:ascii="宋体" w:hAnsi="宋体"/>
          <w:sz w:val="24"/>
        </w:rPr>
      </w:pPr>
    </w:p>
    <w:p>
      <w:pPr>
        <w:jc w:val="right"/>
        <w:rPr>
          <w:rFonts w:asciiTheme="minorEastAsia" w:hAnsiTheme="minorEastAsia" w:eastAsiaTheme="minorEastAsia"/>
          <w:sz w:val="24"/>
        </w:rPr>
      </w:pPr>
    </w:p>
    <w:sectPr>
      <w:footerReference r:id="rId3" w:type="default"/>
      <w:pgSz w:w="16838" w:h="11906" w:orient="landscape"/>
      <w:pgMar w:top="1418" w:right="1797" w:bottom="1418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732499175"/>
    </w:sdtPr>
    <w:sdtContent>
      <w:p>
        <w:pPr>
          <w:pStyle w:val="4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1</w:t>
        </w:r>
        <w:r>
          <w:fldChar w:fldCharType="end"/>
        </w:r>
      </w:p>
    </w:sdtContent>
  </w:sdt>
  <w:p>
    <w:pPr>
      <w:pStyle w:val="4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35F0C8B"/>
    <w:rsid w:val="000000D1"/>
    <w:rsid w:val="00001111"/>
    <w:rsid w:val="000077EA"/>
    <w:rsid w:val="00010A43"/>
    <w:rsid w:val="00012015"/>
    <w:rsid w:val="000134C6"/>
    <w:rsid w:val="00014DED"/>
    <w:rsid w:val="00030F16"/>
    <w:rsid w:val="000532D6"/>
    <w:rsid w:val="000532E4"/>
    <w:rsid w:val="00053501"/>
    <w:rsid w:val="00053F70"/>
    <w:rsid w:val="00066362"/>
    <w:rsid w:val="00076878"/>
    <w:rsid w:val="00077315"/>
    <w:rsid w:val="0007774B"/>
    <w:rsid w:val="000861F9"/>
    <w:rsid w:val="0009094A"/>
    <w:rsid w:val="00090C59"/>
    <w:rsid w:val="00094255"/>
    <w:rsid w:val="00095638"/>
    <w:rsid w:val="000964A5"/>
    <w:rsid w:val="000964C1"/>
    <w:rsid w:val="000A2CC6"/>
    <w:rsid w:val="000A4631"/>
    <w:rsid w:val="000A53FC"/>
    <w:rsid w:val="000B364F"/>
    <w:rsid w:val="000B5BA3"/>
    <w:rsid w:val="000B6CF5"/>
    <w:rsid w:val="000B6D1E"/>
    <w:rsid w:val="000B70AC"/>
    <w:rsid w:val="000B7B7D"/>
    <w:rsid w:val="000C103B"/>
    <w:rsid w:val="000C2A6F"/>
    <w:rsid w:val="000C3487"/>
    <w:rsid w:val="000C4983"/>
    <w:rsid w:val="000C5EBB"/>
    <w:rsid w:val="000C60DE"/>
    <w:rsid w:val="000C7AC7"/>
    <w:rsid w:val="000D238C"/>
    <w:rsid w:val="000D3855"/>
    <w:rsid w:val="000E7C73"/>
    <w:rsid w:val="000E7E45"/>
    <w:rsid w:val="000F03EF"/>
    <w:rsid w:val="000F0624"/>
    <w:rsid w:val="000F0A5C"/>
    <w:rsid w:val="000F45A3"/>
    <w:rsid w:val="000F4D5D"/>
    <w:rsid w:val="000F5979"/>
    <w:rsid w:val="000F6BA6"/>
    <w:rsid w:val="00102373"/>
    <w:rsid w:val="00103305"/>
    <w:rsid w:val="00103EDA"/>
    <w:rsid w:val="001044B7"/>
    <w:rsid w:val="00105012"/>
    <w:rsid w:val="001051E9"/>
    <w:rsid w:val="001054B6"/>
    <w:rsid w:val="00112B81"/>
    <w:rsid w:val="0011376A"/>
    <w:rsid w:val="001238BD"/>
    <w:rsid w:val="001243D1"/>
    <w:rsid w:val="00126A01"/>
    <w:rsid w:val="0013377A"/>
    <w:rsid w:val="00134DA0"/>
    <w:rsid w:val="0013535D"/>
    <w:rsid w:val="00141AB9"/>
    <w:rsid w:val="001440F1"/>
    <w:rsid w:val="00145073"/>
    <w:rsid w:val="001476C0"/>
    <w:rsid w:val="00147775"/>
    <w:rsid w:val="0015632F"/>
    <w:rsid w:val="00160048"/>
    <w:rsid w:val="00162A5F"/>
    <w:rsid w:val="00167656"/>
    <w:rsid w:val="00174482"/>
    <w:rsid w:val="00174591"/>
    <w:rsid w:val="00174BD1"/>
    <w:rsid w:val="00176CD9"/>
    <w:rsid w:val="00180D62"/>
    <w:rsid w:val="0018185D"/>
    <w:rsid w:val="00182F69"/>
    <w:rsid w:val="00183A0D"/>
    <w:rsid w:val="00193C84"/>
    <w:rsid w:val="001945CC"/>
    <w:rsid w:val="0019617B"/>
    <w:rsid w:val="001A4BF9"/>
    <w:rsid w:val="001A682D"/>
    <w:rsid w:val="001A7034"/>
    <w:rsid w:val="001B2DBB"/>
    <w:rsid w:val="001B3CB3"/>
    <w:rsid w:val="001B4AF6"/>
    <w:rsid w:val="001C043E"/>
    <w:rsid w:val="001C150E"/>
    <w:rsid w:val="001C5D1E"/>
    <w:rsid w:val="001C6AD7"/>
    <w:rsid w:val="001D2E4F"/>
    <w:rsid w:val="001D4407"/>
    <w:rsid w:val="001E57C4"/>
    <w:rsid w:val="001E6FE0"/>
    <w:rsid w:val="001F1507"/>
    <w:rsid w:val="001F3146"/>
    <w:rsid w:val="001F4AFE"/>
    <w:rsid w:val="001F5454"/>
    <w:rsid w:val="001F7A15"/>
    <w:rsid w:val="00200C4B"/>
    <w:rsid w:val="00210BC5"/>
    <w:rsid w:val="0021226F"/>
    <w:rsid w:val="00213079"/>
    <w:rsid w:val="002144E6"/>
    <w:rsid w:val="0022036D"/>
    <w:rsid w:val="00222965"/>
    <w:rsid w:val="0022540F"/>
    <w:rsid w:val="00227D11"/>
    <w:rsid w:val="002321BA"/>
    <w:rsid w:val="00234480"/>
    <w:rsid w:val="0024034A"/>
    <w:rsid w:val="00241B5A"/>
    <w:rsid w:val="00241D1E"/>
    <w:rsid w:val="0024384B"/>
    <w:rsid w:val="00245C14"/>
    <w:rsid w:val="00245F62"/>
    <w:rsid w:val="002468AC"/>
    <w:rsid w:val="00246E75"/>
    <w:rsid w:val="00250E63"/>
    <w:rsid w:val="00251205"/>
    <w:rsid w:val="0025257D"/>
    <w:rsid w:val="002538C2"/>
    <w:rsid w:val="00257FCB"/>
    <w:rsid w:val="00261748"/>
    <w:rsid w:val="00262E53"/>
    <w:rsid w:val="00264467"/>
    <w:rsid w:val="00272B13"/>
    <w:rsid w:val="00273249"/>
    <w:rsid w:val="00275D66"/>
    <w:rsid w:val="002765FC"/>
    <w:rsid w:val="00282C76"/>
    <w:rsid w:val="00283890"/>
    <w:rsid w:val="002902A1"/>
    <w:rsid w:val="002928BF"/>
    <w:rsid w:val="002A18EB"/>
    <w:rsid w:val="002A28D2"/>
    <w:rsid w:val="002A2F3E"/>
    <w:rsid w:val="002A74DF"/>
    <w:rsid w:val="002A792B"/>
    <w:rsid w:val="002B27D3"/>
    <w:rsid w:val="002B37F2"/>
    <w:rsid w:val="002B4559"/>
    <w:rsid w:val="002B781D"/>
    <w:rsid w:val="002C0421"/>
    <w:rsid w:val="002D0F92"/>
    <w:rsid w:val="002D5B16"/>
    <w:rsid w:val="002D7AA6"/>
    <w:rsid w:val="002F1CE5"/>
    <w:rsid w:val="002F3738"/>
    <w:rsid w:val="003026B9"/>
    <w:rsid w:val="00306D48"/>
    <w:rsid w:val="003100F5"/>
    <w:rsid w:val="003121AC"/>
    <w:rsid w:val="00312357"/>
    <w:rsid w:val="0032099F"/>
    <w:rsid w:val="003215AB"/>
    <w:rsid w:val="003237F8"/>
    <w:rsid w:val="00323A01"/>
    <w:rsid w:val="00324D33"/>
    <w:rsid w:val="00325706"/>
    <w:rsid w:val="00327550"/>
    <w:rsid w:val="00333D24"/>
    <w:rsid w:val="0034395B"/>
    <w:rsid w:val="00344B4C"/>
    <w:rsid w:val="00346268"/>
    <w:rsid w:val="00353731"/>
    <w:rsid w:val="00355CA6"/>
    <w:rsid w:val="003576A5"/>
    <w:rsid w:val="003618AD"/>
    <w:rsid w:val="00362ABE"/>
    <w:rsid w:val="00362CB9"/>
    <w:rsid w:val="00366CAD"/>
    <w:rsid w:val="003716CD"/>
    <w:rsid w:val="0037211F"/>
    <w:rsid w:val="003760D4"/>
    <w:rsid w:val="00376193"/>
    <w:rsid w:val="003806CC"/>
    <w:rsid w:val="00380AE1"/>
    <w:rsid w:val="00381137"/>
    <w:rsid w:val="00382B54"/>
    <w:rsid w:val="00384768"/>
    <w:rsid w:val="0038526B"/>
    <w:rsid w:val="00385C68"/>
    <w:rsid w:val="00387755"/>
    <w:rsid w:val="0039387A"/>
    <w:rsid w:val="00393B4B"/>
    <w:rsid w:val="003A21B3"/>
    <w:rsid w:val="003A3B6C"/>
    <w:rsid w:val="003A66A1"/>
    <w:rsid w:val="003B1B23"/>
    <w:rsid w:val="003B250F"/>
    <w:rsid w:val="003C03E7"/>
    <w:rsid w:val="003C0409"/>
    <w:rsid w:val="003C73D1"/>
    <w:rsid w:val="003D1518"/>
    <w:rsid w:val="003D1C8E"/>
    <w:rsid w:val="003D27F5"/>
    <w:rsid w:val="003D6119"/>
    <w:rsid w:val="003D6BE1"/>
    <w:rsid w:val="003E0AB3"/>
    <w:rsid w:val="003E16EA"/>
    <w:rsid w:val="003E5562"/>
    <w:rsid w:val="003E5BA3"/>
    <w:rsid w:val="003E7C0B"/>
    <w:rsid w:val="003F294E"/>
    <w:rsid w:val="003F34F8"/>
    <w:rsid w:val="003F450C"/>
    <w:rsid w:val="003F4670"/>
    <w:rsid w:val="00403403"/>
    <w:rsid w:val="00406298"/>
    <w:rsid w:val="00406E28"/>
    <w:rsid w:val="00413DE2"/>
    <w:rsid w:val="004140CC"/>
    <w:rsid w:val="00416C70"/>
    <w:rsid w:val="00421D9D"/>
    <w:rsid w:val="00422B62"/>
    <w:rsid w:val="00422FF3"/>
    <w:rsid w:val="004260B5"/>
    <w:rsid w:val="00435A39"/>
    <w:rsid w:val="0043614B"/>
    <w:rsid w:val="004367A9"/>
    <w:rsid w:val="004418E1"/>
    <w:rsid w:val="00446220"/>
    <w:rsid w:val="00446D35"/>
    <w:rsid w:val="00447205"/>
    <w:rsid w:val="00447C49"/>
    <w:rsid w:val="00450800"/>
    <w:rsid w:val="0045205C"/>
    <w:rsid w:val="00453A97"/>
    <w:rsid w:val="00454BD0"/>
    <w:rsid w:val="004562D7"/>
    <w:rsid w:val="004562D8"/>
    <w:rsid w:val="0045732D"/>
    <w:rsid w:val="00457556"/>
    <w:rsid w:val="00457C66"/>
    <w:rsid w:val="004603FC"/>
    <w:rsid w:val="00460A28"/>
    <w:rsid w:val="004617F6"/>
    <w:rsid w:val="004631BC"/>
    <w:rsid w:val="00463276"/>
    <w:rsid w:val="00463889"/>
    <w:rsid w:val="00464BEF"/>
    <w:rsid w:val="004657FF"/>
    <w:rsid w:val="00471E3D"/>
    <w:rsid w:val="004748F9"/>
    <w:rsid w:val="00482C1E"/>
    <w:rsid w:val="00487F19"/>
    <w:rsid w:val="0049023D"/>
    <w:rsid w:val="00490A04"/>
    <w:rsid w:val="0049206F"/>
    <w:rsid w:val="00493479"/>
    <w:rsid w:val="00496DF2"/>
    <w:rsid w:val="004A033B"/>
    <w:rsid w:val="004B1A56"/>
    <w:rsid w:val="004C528C"/>
    <w:rsid w:val="004D1E19"/>
    <w:rsid w:val="004D21C7"/>
    <w:rsid w:val="004D4C6D"/>
    <w:rsid w:val="004D5AD0"/>
    <w:rsid w:val="004D6FFB"/>
    <w:rsid w:val="004D7907"/>
    <w:rsid w:val="004E048C"/>
    <w:rsid w:val="004E43A4"/>
    <w:rsid w:val="004E5B49"/>
    <w:rsid w:val="004E612B"/>
    <w:rsid w:val="004F0781"/>
    <w:rsid w:val="004F2082"/>
    <w:rsid w:val="004F586A"/>
    <w:rsid w:val="0050348A"/>
    <w:rsid w:val="00503E93"/>
    <w:rsid w:val="0050591E"/>
    <w:rsid w:val="00505F6B"/>
    <w:rsid w:val="0050704A"/>
    <w:rsid w:val="00511BF9"/>
    <w:rsid w:val="005124F0"/>
    <w:rsid w:val="00530B7A"/>
    <w:rsid w:val="00531E4F"/>
    <w:rsid w:val="005353F3"/>
    <w:rsid w:val="00535800"/>
    <w:rsid w:val="005474BC"/>
    <w:rsid w:val="00554E7F"/>
    <w:rsid w:val="00555385"/>
    <w:rsid w:val="005554D2"/>
    <w:rsid w:val="00557391"/>
    <w:rsid w:val="005620CF"/>
    <w:rsid w:val="0056266F"/>
    <w:rsid w:val="00563F0B"/>
    <w:rsid w:val="00564199"/>
    <w:rsid w:val="00565A7D"/>
    <w:rsid w:val="005731A0"/>
    <w:rsid w:val="00577A09"/>
    <w:rsid w:val="00580920"/>
    <w:rsid w:val="00581C5F"/>
    <w:rsid w:val="00582A21"/>
    <w:rsid w:val="00592D95"/>
    <w:rsid w:val="00595BD4"/>
    <w:rsid w:val="005978AC"/>
    <w:rsid w:val="005A0415"/>
    <w:rsid w:val="005B226F"/>
    <w:rsid w:val="005B3586"/>
    <w:rsid w:val="005B40B6"/>
    <w:rsid w:val="005B52BA"/>
    <w:rsid w:val="005C21EF"/>
    <w:rsid w:val="005C3DAE"/>
    <w:rsid w:val="005C6AF6"/>
    <w:rsid w:val="005C7402"/>
    <w:rsid w:val="005C7887"/>
    <w:rsid w:val="005D52F5"/>
    <w:rsid w:val="005E178E"/>
    <w:rsid w:val="005E7941"/>
    <w:rsid w:val="005F4E91"/>
    <w:rsid w:val="00600916"/>
    <w:rsid w:val="00602A39"/>
    <w:rsid w:val="00606E64"/>
    <w:rsid w:val="00611FC5"/>
    <w:rsid w:val="00615D0A"/>
    <w:rsid w:val="00620E8A"/>
    <w:rsid w:val="00623ACE"/>
    <w:rsid w:val="0062792B"/>
    <w:rsid w:val="00630E91"/>
    <w:rsid w:val="00635F10"/>
    <w:rsid w:val="006366AA"/>
    <w:rsid w:val="00640F96"/>
    <w:rsid w:val="0064135D"/>
    <w:rsid w:val="00644DBB"/>
    <w:rsid w:val="006504DD"/>
    <w:rsid w:val="00651059"/>
    <w:rsid w:val="00651939"/>
    <w:rsid w:val="006529BC"/>
    <w:rsid w:val="00657FD0"/>
    <w:rsid w:val="00667BC9"/>
    <w:rsid w:val="00672B6C"/>
    <w:rsid w:val="00672D2F"/>
    <w:rsid w:val="006738F1"/>
    <w:rsid w:val="006810BC"/>
    <w:rsid w:val="006853DA"/>
    <w:rsid w:val="00686FA6"/>
    <w:rsid w:val="00696540"/>
    <w:rsid w:val="00696C29"/>
    <w:rsid w:val="006A065C"/>
    <w:rsid w:val="006A1245"/>
    <w:rsid w:val="006A1AF1"/>
    <w:rsid w:val="006A2A5A"/>
    <w:rsid w:val="006A2D4F"/>
    <w:rsid w:val="006A312E"/>
    <w:rsid w:val="006A4DE5"/>
    <w:rsid w:val="006B04C6"/>
    <w:rsid w:val="006B454F"/>
    <w:rsid w:val="006B4985"/>
    <w:rsid w:val="006C2956"/>
    <w:rsid w:val="006C2C6B"/>
    <w:rsid w:val="006C4D4E"/>
    <w:rsid w:val="006C6B02"/>
    <w:rsid w:val="006D06CC"/>
    <w:rsid w:val="006D6B55"/>
    <w:rsid w:val="006E05F4"/>
    <w:rsid w:val="006E0AAB"/>
    <w:rsid w:val="006E0DD1"/>
    <w:rsid w:val="006E1968"/>
    <w:rsid w:val="006F5257"/>
    <w:rsid w:val="006F595B"/>
    <w:rsid w:val="007013DD"/>
    <w:rsid w:val="00701F38"/>
    <w:rsid w:val="00704AE0"/>
    <w:rsid w:val="007076F4"/>
    <w:rsid w:val="00713248"/>
    <w:rsid w:val="007136AB"/>
    <w:rsid w:val="0071401B"/>
    <w:rsid w:val="00715CB8"/>
    <w:rsid w:val="007161B4"/>
    <w:rsid w:val="0072330E"/>
    <w:rsid w:val="0072344E"/>
    <w:rsid w:val="00725F6A"/>
    <w:rsid w:val="00726229"/>
    <w:rsid w:val="007323F8"/>
    <w:rsid w:val="007337F7"/>
    <w:rsid w:val="007365A6"/>
    <w:rsid w:val="00740F7C"/>
    <w:rsid w:val="0074197A"/>
    <w:rsid w:val="00741E16"/>
    <w:rsid w:val="00742D00"/>
    <w:rsid w:val="00745D11"/>
    <w:rsid w:val="00750C47"/>
    <w:rsid w:val="007560F5"/>
    <w:rsid w:val="007564DF"/>
    <w:rsid w:val="00761F78"/>
    <w:rsid w:val="00765B8A"/>
    <w:rsid w:val="0076663C"/>
    <w:rsid w:val="00771DFE"/>
    <w:rsid w:val="007740CC"/>
    <w:rsid w:val="00780911"/>
    <w:rsid w:val="007809B9"/>
    <w:rsid w:val="00781015"/>
    <w:rsid w:val="00781D89"/>
    <w:rsid w:val="00782722"/>
    <w:rsid w:val="00784891"/>
    <w:rsid w:val="00785457"/>
    <w:rsid w:val="00785925"/>
    <w:rsid w:val="007870B2"/>
    <w:rsid w:val="007878BB"/>
    <w:rsid w:val="0079020E"/>
    <w:rsid w:val="00790CAB"/>
    <w:rsid w:val="0079143C"/>
    <w:rsid w:val="007A70B8"/>
    <w:rsid w:val="007B0087"/>
    <w:rsid w:val="007B0886"/>
    <w:rsid w:val="007B3D40"/>
    <w:rsid w:val="007B462E"/>
    <w:rsid w:val="007B5391"/>
    <w:rsid w:val="007B5525"/>
    <w:rsid w:val="007B69AC"/>
    <w:rsid w:val="007B7061"/>
    <w:rsid w:val="007B72DC"/>
    <w:rsid w:val="007C04F4"/>
    <w:rsid w:val="007C20A3"/>
    <w:rsid w:val="007C23FE"/>
    <w:rsid w:val="007C3F48"/>
    <w:rsid w:val="007D30F4"/>
    <w:rsid w:val="007D3695"/>
    <w:rsid w:val="007D523C"/>
    <w:rsid w:val="007D5900"/>
    <w:rsid w:val="007E1328"/>
    <w:rsid w:val="007E3A03"/>
    <w:rsid w:val="007E535E"/>
    <w:rsid w:val="007E6966"/>
    <w:rsid w:val="007E7583"/>
    <w:rsid w:val="007E7655"/>
    <w:rsid w:val="007E7AE1"/>
    <w:rsid w:val="007E7B67"/>
    <w:rsid w:val="007F3817"/>
    <w:rsid w:val="007F3A1C"/>
    <w:rsid w:val="007F4657"/>
    <w:rsid w:val="007F5B3F"/>
    <w:rsid w:val="008000F6"/>
    <w:rsid w:val="0080624A"/>
    <w:rsid w:val="00811FBA"/>
    <w:rsid w:val="008123A9"/>
    <w:rsid w:val="00813295"/>
    <w:rsid w:val="00813ED0"/>
    <w:rsid w:val="00814156"/>
    <w:rsid w:val="0081439C"/>
    <w:rsid w:val="008160FB"/>
    <w:rsid w:val="00820C17"/>
    <w:rsid w:val="00822393"/>
    <w:rsid w:val="00824F81"/>
    <w:rsid w:val="00825559"/>
    <w:rsid w:val="008267EA"/>
    <w:rsid w:val="00827839"/>
    <w:rsid w:val="008325AF"/>
    <w:rsid w:val="0083325A"/>
    <w:rsid w:val="00833DB1"/>
    <w:rsid w:val="00835F13"/>
    <w:rsid w:val="00836216"/>
    <w:rsid w:val="008372BB"/>
    <w:rsid w:val="00841DB1"/>
    <w:rsid w:val="0084686E"/>
    <w:rsid w:val="00847BA8"/>
    <w:rsid w:val="00852287"/>
    <w:rsid w:val="008532EC"/>
    <w:rsid w:val="00853878"/>
    <w:rsid w:val="00857653"/>
    <w:rsid w:val="00864068"/>
    <w:rsid w:val="00866E02"/>
    <w:rsid w:val="00871C20"/>
    <w:rsid w:val="008729BC"/>
    <w:rsid w:val="008806A3"/>
    <w:rsid w:val="00881807"/>
    <w:rsid w:val="008819F0"/>
    <w:rsid w:val="00885116"/>
    <w:rsid w:val="00890E42"/>
    <w:rsid w:val="008939F1"/>
    <w:rsid w:val="008941D2"/>
    <w:rsid w:val="00895441"/>
    <w:rsid w:val="00896D35"/>
    <w:rsid w:val="008A0796"/>
    <w:rsid w:val="008A172A"/>
    <w:rsid w:val="008A2991"/>
    <w:rsid w:val="008B2124"/>
    <w:rsid w:val="008B32AD"/>
    <w:rsid w:val="008B43E2"/>
    <w:rsid w:val="008B43F3"/>
    <w:rsid w:val="008B5210"/>
    <w:rsid w:val="008B53F4"/>
    <w:rsid w:val="008B6E64"/>
    <w:rsid w:val="008B74D8"/>
    <w:rsid w:val="008C30A1"/>
    <w:rsid w:val="008D0184"/>
    <w:rsid w:val="008D0A7E"/>
    <w:rsid w:val="008D4270"/>
    <w:rsid w:val="008E060A"/>
    <w:rsid w:val="008E0F05"/>
    <w:rsid w:val="008E3611"/>
    <w:rsid w:val="008E421E"/>
    <w:rsid w:val="008E47C9"/>
    <w:rsid w:val="008E5B54"/>
    <w:rsid w:val="00900AD1"/>
    <w:rsid w:val="00903376"/>
    <w:rsid w:val="00904FCF"/>
    <w:rsid w:val="00906D62"/>
    <w:rsid w:val="009116F2"/>
    <w:rsid w:val="00912FB3"/>
    <w:rsid w:val="0091390A"/>
    <w:rsid w:val="00915E96"/>
    <w:rsid w:val="00923492"/>
    <w:rsid w:val="00924AE0"/>
    <w:rsid w:val="00927F39"/>
    <w:rsid w:val="00935008"/>
    <w:rsid w:val="00936904"/>
    <w:rsid w:val="009417EB"/>
    <w:rsid w:val="009421F5"/>
    <w:rsid w:val="0094338D"/>
    <w:rsid w:val="0094396C"/>
    <w:rsid w:val="00950541"/>
    <w:rsid w:val="00951614"/>
    <w:rsid w:val="00951658"/>
    <w:rsid w:val="00951730"/>
    <w:rsid w:val="009520D7"/>
    <w:rsid w:val="00953A08"/>
    <w:rsid w:val="00953B9F"/>
    <w:rsid w:val="00953E41"/>
    <w:rsid w:val="00953F9D"/>
    <w:rsid w:val="00954D40"/>
    <w:rsid w:val="00955D6C"/>
    <w:rsid w:val="00955EAA"/>
    <w:rsid w:val="0095662B"/>
    <w:rsid w:val="00962CE9"/>
    <w:rsid w:val="009728A6"/>
    <w:rsid w:val="00972DD4"/>
    <w:rsid w:val="009741ED"/>
    <w:rsid w:val="00977C1B"/>
    <w:rsid w:val="0098047B"/>
    <w:rsid w:val="009851AB"/>
    <w:rsid w:val="00995B5C"/>
    <w:rsid w:val="009A46D3"/>
    <w:rsid w:val="009A57D0"/>
    <w:rsid w:val="009B4013"/>
    <w:rsid w:val="009B4972"/>
    <w:rsid w:val="009C2496"/>
    <w:rsid w:val="009C496F"/>
    <w:rsid w:val="009C7145"/>
    <w:rsid w:val="009D1BAC"/>
    <w:rsid w:val="009D3480"/>
    <w:rsid w:val="009E16A8"/>
    <w:rsid w:val="009E1B57"/>
    <w:rsid w:val="009E5295"/>
    <w:rsid w:val="009F0E27"/>
    <w:rsid w:val="009F40ED"/>
    <w:rsid w:val="009F6642"/>
    <w:rsid w:val="00A062B2"/>
    <w:rsid w:val="00A07D3A"/>
    <w:rsid w:val="00A10899"/>
    <w:rsid w:val="00A109EC"/>
    <w:rsid w:val="00A1469C"/>
    <w:rsid w:val="00A216C6"/>
    <w:rsid w:val="00A32105"/>
    <w:rsid w:val="00A337BF"/>
    <w:rsid w:val="00A34A5A"/>
    <w:rsid w:val="00A429A8"/>
    <w:rsid w:val="00A43DF2"/>
    <w:rsid w:val="00A46E38"/>
    <w:rsid w:val="00A50E4D"/>
    <w:rsid w:val="00A55FA3"/>
    <w:rsid w:val="00A56F59"/>
    <w:rsid w:val="00A64ECE"/>
    <w:rsid w:val="00A65891"/>
    <w:rsid w:val="00A6661C"/>
    <w:rsid w:val="00A67271"/>
    <w:rsid w:val="00A7042E"/>
    <w:rsid w:val="00A70D53"/>
    <w:rsid w:val="00A73AD9"/>
    <w:rsid w:val="00A8029C"/>
    <w:rsid w:val="00A84B1E"/>
    <w:rsid w:val="00A8711A"/>
    <w:rsid w:val="00A927CB"/>
    <w:rsid w:val="00AA1824"/>
    <w:rsid w:val="00AA3B27"/>
    <w:rsid w:val="00AA581D"/>
    <w:rsid w:val="00AB28C0"/>
    <w:rsid w:val="00AB4D2E"/>
    <w:rsid w:val="00AC0DBA"/>
    <w:rsid w:val="00AC7A64"/>
    <w:rsid w:val="00AD0DA3"/>
    <w:rsid w:val="00AD1C10"/>
    <w:rsid w:val="00AD3496"/>
    <w:rsid w:val="00AD445C"/>
    <w:rsid w:val="00AD63DE"/>
    <w:rsid w:val="00AE3106"/>
    <w:rsid w:val="00AE6643"/>
    <w:rsid w:val="00AE679B"/>
    <w:rsid w:val="00AF2B42"/>
    <w:rsid w:val="00AF5F5F"/>
    <w:rsid w:val="00B048AB"/>
    <w:rsid w:val="00B05DCF"/>
    <w:rsid w:val="00B1164F"/>
    <w:rsid w:val="00B11FAC"/>
    <w:rsid w:val="00B12C6D"/>
    <w:rsid w:val="00B12D2D"/>
    <w:rsid w:val="00B133E6"/>
    <w:rsid w:val="00B1342F"/>
    <w:rsid w:val="00B137E5"/>
    <w:rsid w:val="00B16C29"/>
    <w:rsid w:val="00B172FC"/>
    <w:rsid w:val="00B21BCA"/>
    <w:rsid w:val="00B26EBD"/>
    <w:rsid w:val="00B32131"/>
    <w:rsid w:val="00B36A7E"/>
    <w:rsid w:val="00B409EF"/>
    <w:rsid w:val="00B451A8"/>
    <w:rsid w:val="00B46F23"/>
    <w:rsid w:val="00B52814"/>
    <w:rsid w:val="00B5756A"/>
    <w:rsid w:val="00B57AF8"/>
    <w:rsid w:val="00B61228"/>
    <w:rsid w:val="00B63C51"/>
    <w:rsid w:val="00B64E22"/>
    <w:rsid w:val="00B666A3"/>
    <w:rsid w:val="00B66A8C"/>
    <w:rsid w:val="00B67871"/>
    <w:rsid w:val="00B71740"/>
    <w:rsid w:val="00B71999"/>
    <w:rsid w:val="00B72DFA"/>
    <w:rsid w:val="00B73AFA"/>
    <w:rsid w:val="00B7677C"/>
    <w:rsid w:val="00B834FD"/>
    <w:rsid w:val="00B8399D"/>
    <w:rsid w:val="00B91FFA"/>
    <w:rsid w:val="00B9230A"/>
    <w:rsid w:val="00B9330C"/>
    <w:rsid w:val="00B94865"/>
    <w:rsid w:val="00B948E9"/>
    <w:rsid w:val="00BA44A5"/>
    <w:rsid w:val="00BA4CA4"/>
    <w:rsid w:val="00BA7B64"/>
    <w:rsid w:val="00BB3BAE"/>
    <w:rsid w:val="00BB4C74"/>
    <w:rsid w:val="00BB577B"/>
    <w:rsid w:val="00BB5A5C"/>
    <w:rsid w:val="00BB6E88"/>
    <w:rsid w:val="00BC3535"/>
    <w:rsid w:val="00BC783D"/>
    <w:rsid w:val="00BC7F24"/>
    <w:rsid w:val="00BD1DC1"/>
    <w:rsid w:val="00BD242E"/>
    <w:rsid w:val="00BD36F9"/>
    <w:rsid w:val="00BE05CF"/>
    <w:rsid w:val="00BE46B5"/>
    <w:rsid w:val="00BE73AD"/>
    <w:rsid w:val="00BF1A9F"/>
    <w:rsid w:val="00BF3645"/>
    <w:rsid w:val="00BF3DBD"/>
    <w:rsid w:val="00BF463D"/>
    <w:rsid w:val="00BF489A"/>
    <w:rsid w:val="00BF4C2C"/>
    <w:rsid w:val="00BF50C7"/>
    <w:rsid w:val="00BF5D13"/>
    <w:rsid w:val="00BF63E2"/>
    <w:rsid w:val="00C00E85"/>
    <w:rsid w:val="00C03C08"/>
    <w:rsid w:val="00C06F04"/>
    <w:rsid w:val="00C10B25"/>
    <w:rsid w:val="00C14279"/>
    <w:rsid w:val="00C15641"/>
    <w:rsid w:val="00C16D03"/>
    <w:rsid w:val="00C207C0"/>
    <w:rsid w:val="00C208B8"/>
    <w:rsid w:val="00C22CE9"/>
    <w:rsid w:val="00C24D6F"/>
    <w:rsid w:val="00C258CE"/>
    <w:rsid w:val="00C2760A"/>
    <w:rsid w:val="00C320AF"/>
    <w:rsid w:val="00C333AE"/>
    <w:rsid w:val="00C35E00"/>
    <w:rsid w:val="00C41C08"/>
    <w:rsid w:val="00C42765"/>
    <w:rsid w:val="00C45F3C"/>
    <w:rsid w:val="00C50C9F"/>
    <w:rsid w:val="00C51887"/>
    <w:rsid w:val="00C526CF"/>
    <w:rsid w:val="00C52B1F"/>
    <w:rsid w:val="00C54224"/>
    <w:rsid w:val="00C54DDB"/>
    <w:rsid w:val="00C565BC"/>
    <w:rsid w:val="00C60EFF"/>
    <w:rsid w:val="00C62129"/>
    <w:rsid w:val="00C71B54"/>
    <w:rsid w:val="00C73A1D"/>
    <w:rsid w:val="00C77D4B"/>
    <w:rsid w:val="00C8478C"/>
    <w:rsid w:val="00C84DFA"/>
    <w:rsid w:val="00C852FB"/>
    <w:rsid w:val="00C95BD3"/>
    <w:rsid w:val="00CA2D38"/>
    <w:rsid w:val="00CA3A8D"/>
    <w:rsid w:val="00CA3BFF"/>
    <w:rsid w:val="00CA478C"/>
    <w:rsid w:val="00CA5E54"/>
    <w:rsid w:val="00CB3B67"/>
    <w:rsid w:val="00CC2685"/>
    <w:rsid w:val="00CC29C8"/>
    <w:rsid w:val="00CC4F8E"/>
    <w:rsid w:val="00CC51D6"/>
    <w:rsid w:val="00CD13C7"/>
    <w:rsid w:val="00CD4505"/>
    <w:rsid w:val="00CD59A7"/>
    <w:rsid w:val="00CE2907"/>
    <w:rsid w:val="00CF3DD4"/>
    <w:rsid w:val="00CF4A66"/>
    <w:rsid w:val="00D04369"/>
    <w:rsid w:val="00D04B49"/>
    <w:rsid w:val="00D05E02"/>
    <w:rsid w:val="00D06532"/>
    <w:rsid w:val="00D15D70"/>
    <w:rsid w:val="00D21598"/>
    <w:rsid w:val="00D229DD"/>
    <w:rsid w:val="00D23E2B"/>
    <w:rsid w:val="00D2648F"/>
    <w:rsid w:val="00D30AB7"/>
    <w:rsid w:val="00D321B7"/>
    <w:rsid w:val="00D404D4"/>
    <w:rsid w:val="00D40E60"/>
    <w:rsid w:val="00D41DAD"/>
    <w:rsid w:val="00D4469F"/>
    <w:rsid w:val="00D46FA8"/>
    <w:rsid w:val="00D50137"/>
    <w:rsid w:val="00D51CF9"/>
    <w:rsid w:val="00D53101"/>
    <w:rsid w:val="00D531ED"/>
    <w:rsid w:val="00D565F9"/>
    <w:rsid w:val="00D60D45"/>
    <w:rsid w:val="00D633A8"/>
    <w:rsid w:val="00D63799"/>
    <w:rsid w:val="00D64F97"/>
    <w:rsid w:val="00D65385"/>
    <w:rsid w:val="00D76326"/>
    <w:rsid w:val="00D778F7"/>
    <w:rsid w:val="00D831CF"/>
    <w:rsid w:val="00D85646"/>
    <w:rsid w:val="00D87502"/>
    <w:rsid w:val="00D9476D"/>
    <w:rsid w:val="00D951AF"/>
    <w:rsid w:val="00D9639C"/>
    <w:rsid w:val="00D977B4"/>
    <w:rsid w:val="00DA28D2"/>
    <w:rsid w:val="00DA4483"/>
    <w:rsid w:val="00DA54C8"/>
    <w:rsid w:val="00DB0F58"/>
    <w:rsid w:val="00DB254A"/>
    <w:rsid w:val="00DB4A80"/>
    <w:rsid w:val="00DB54E7"/>
    <w:rsid w:val="00DB57B2"/>
    <w:rsid w:val="00DB7AB7"/>
    <w:rsid w:val="00DC0840"/>
    <w:rsid w:val="00DC0C4D"/>
    <w:rsid w:val="00DC6598"/>
    <w:rsid w:val="00DC6C4D"/>
    <w:rsid w:val="00DC7E2E"/>
    <w:rsid w:val="00DD310A"/>
    <w:rsid w:val="00DD4093"/>
    <w:rsid w:val="00DD64D8"/>
    <w:rsid w:val="00DD6D3A"/>
    <w:rsid w:val="00DE0F28"/>
    <w:rsid w:val="00DE7C05"/>
    <w:rsid w:val="00DF0391"/>
    <w:rsid w:val="00DF13EE"/>
    <w:rsid w:val="00DF298D"/>
    <w:rsid w:val="00DF5B61"/>
    <w:rsid w:val="00E004F6"/>
    <w:rsid w:val="00E01377"/>
    <w:rsid w:val="00E039C1"/>
    <w:rsid w:val="00E04407"/>
    <w:rsid w:val="00E053ED"/>
    <w:rsid w:val="00E07BB8"/>
    <w:rsid w:val="00E10B7C"/>
    <w:rsid w:val="00E1140A"/>
    <w:rsid w:val="00E11473"/>
    <w:rsid w:val="00E1169F"/>
    <w:rsid w:val="00E143C8"/>
    <w:rsid w:val="00E17632"/>
    <w:rsid w:val="00E17869"/>
    <w:rsid w:val="00E238C0"/>
    <w:rsid w:val="00E3239C"/>
    <w:rsid w:val="00E348E6"/>
    <w:rsid w:val="00E364C0"/>
    <w:rsid w:val="00E42066"/>
    <w:rsid w:val="00E44983"/>
    <w:rsid w:val="00E46299"/>
    <w:rsid w:val="00E50471"/>
    <w:rsid w:val="00E5180B"/>
    <w:rsid w:val="00E57A8A"/>
    <w:rsid w:val="00E57EAB"/>
    <w:rsid w:val="00E62C2B"/>
    <w:rsid w:val="00E640C0"/>
    <w:rsid w:val="00E662B5"/>
    <w:rsid w:val="00E66A1C"/>
    <w:rsid w:val="00E71267"/>
    <w:rsid w:val="00E71334"/>
    <w:rsid w:val="00E73CD6"/>
    <w:rsid w:val="00E74180"/>
    <w:rsid w:val="00E7587F"/>
    <w:rsid w:val="00E75BE7"/>
    <w:rsid w:val="00E77BE7"/>
    <w:rsid w:val="00E82253"/>
    <w:rsid w:val="00E82CBC"/>
    <w:rsid w:val="00E83004"/>
    <w:rsid w:val="00E84BFE"/>
    <w:rsid w:val="00E8708F"/>
    <w:rsid w:val="00E90CC4"/>
    <w:rsid w:val="00E91E46"/>
    <w:rsid w:val="00E931F1"/>
    <w:rsid w:val="00E95E0D"/>
    <w:rsid w:val="00E965F0"/>
    <w:rsid w:val="00E96767"/>
    <w:rsid w:val="00EA2084"/>
    <w:rsid w:val="00EA2485"/>
    <w:rsid w:val="00EA46F1"/>
    <w:rsid w:val="00EA4EAB"/>
    <w:rsid w:val="00EA6D96"/>
    <w:rsid w:val="00EA75B8"/>
    <w:rsid w:val="00EB0920"/>
    <w:rsid w:val="00EB7B44"/>
    <w:rsid w:val="00EC28B6"/>
    <w:rsid w:val="00EC31B7"/>
    <w:rsid w:val="00EC36AE"/>
    <w:rsid w:val="00EC3E94"/>
    <w:rsid w:val="00EC79C9"/>
    <w:rsid w:val="00ED0090"/>
    <w:rsid w:val="00ED1436"/>
    <w:rsid w:val="00ED188D"/>
    <w:rsid w:val="00ED4A6C"/>
    <w:rsid w:val="00ED6BFF"/>
    <w:rsid w:val="00EE120E"/>
    <w:rsid w:val="00EE3192"/>
    <w:rsid w:val="00EE44F2"/>
    <w:rsid w:val="00EE735D"/>
    <w:rsid w:val="00EF0EEC"/>
    <w:rsid w:val="00EF40EF"/>
    <w:rsid w:val="00EF4ABE"/>
    <w:rsid w:val="00EF6C4E"/>
    <w:rsid w:val="00EF7279"/>
    <w:rsid w:val="00F005EF"/>
    <w:rsid w:val="00F01620"/>
    <w:rsid w:val="00F0206E"/>
    <w:rsid w:val="00F054FF"/>
    <w:rsid w:val="00F079F5"/>
    <w:rsid w:val="00F11BAD"/>
    <w:rsid w:val="00F12079"/>
    <w:rsid w:val="00F16951"/>
    <w:rsid w:val="00F16AD3"/>
    <w:rsid w:val="00F17A59"/>
    <w:rsid w:val="00F22C69"/>
    <w:rsid w:val="00F25E17"/>
    <w:rsid w:val="00F305A2"/>
    <w:rsid w:val="00F3183C"/>
    <w:rsid w:val="00F44022"/>
    <w:rsid w:val="00F453A9"/>
    <w:rsid w:val="00F4567D"/>
    <w:rsid w:val="00F45DBD"/>
    <w:rsid w:val="00F56BB8"/>
    <w:rsid w:val="00F6051A"/>
    <w:rsid w:val="00F611C3"/>
    <w:rsid w:val="00F6273B"/>
    <w:rsid w:val="00F744C3"/>
    <w:rsid w:val="00F749C5"/>
    <w:rsid w:val="00F777D9"/>
    <w:rsid w:val="00F81CF9"/>
    <w:rsid w:val="00F83082"/>
    <w:rsid w:val="00F84B06"/>
    <w:rsid w:val="00F864E0"/>
    <w:rsid w:val="00F93D44"/>
    <w:rsid w:val="00F953E6"/>
    <w:rsid w:val="00FA1090"/>
    <w:rsid w:val="00FB02EC"/>
    <w:rsid w:val="00FB1E1D"/>
    <w:rsid w:val="00FB4746"/>
    <w:rsid w:val="00FB4DD9"/>
    <w:rsid w:val="00FC120F"/>
    <w:rsid w:val="00FC50D3"/>
    <w:rsid w:val="00FD1AFA"/>
    <w:rsid w:val="00FD27DB"/>
    <w:rsid w:val="00FD5CA7"/>
    <w:rsid w:val="00FE21AF"/>
    <w:rsid w:val="00FE2D95"/>
    <w:rsid w:val="00FE54D3"/>
    <w:rsid w:val="00FE6EF8"/>
    <w:rsid w:val="00FF1EFE"/>
    <w:rsid w:val="00FF38B3"/>
    <w:rsid w:val="00FF7820"/>
    <w:rsid w:val="00FF7B0D"/>
    <w:rsid w:val="02BE23DF"/>
    <w:rsid w:val="07C20063"/>
    <w:rsid w:val="07F125FE"/>
    <w:rsid w:val="08F214C4"/>
    <w:rsid w:val="0AB74E30"/>
    <w:rsid w:val="118A2598"/>
    <w:rsid w:val="16E70B38"/>
    <w:rsid w:val="1B77D493"/>
    <w:rsid w:val="1DF05F19"/>
    <w:rsid w:val="2FDD9953"/>
    <w:rsid w:val="35DA7D42"/>
    <w:rsid w:val="35FB4ECB"/>
    <w:rsid w:val="37977E1D"/>
    <w:rsid w:val="3DF61651"/>
    <w:rsid w:val="3EC22E53"/>
    <w:rsid w:val="3FFFAAD7"/>
    <w:rsid w:val="4484745D"/>
    <w:rsid w:val="4B947928"/>
    <w:rsid w:val="4FDFA577"/>
    <w:rsid w:val="535F0C8B"/>
    <w:rsid w:val="57EF0EE5"/>
    <w:rsid w:val="5A9D6ECD"/>
    <w:rsid w:val="5AEB21C6"/>
    <w:rsid w:val="602820B9"/>
    <w:rsid w:val="67B9873B"/>
    <w:rsid w:val="69FB3D83"/>
    <w:rsid w:val="6CD8508E"/>
    <w:rsid w:val="6ED1349B"/>
    <w:rsid w:val="6FFFD455"/>
    <w:rsid w:val="75694FA9"/>
    <w:rsid w:val="75A22FB0"/>
    <w:rsid w:val="7B1D4C56"/>
    <w:rsid w:val="7D422794"/>
    <w:rsid w:val="7E1F4BA0"/>
    <w:rsid w:val="7FDF7827"/>
    <w:rsid w:val="A7DA6055"/>
    <w:rsid w:val="A7FD72B4"/>
    <w:rsid w:val="BF0B07B4"/>
    <w:rsid w:val="DFF74DAA"/>
    <w:rsid w:val="EBBF8598"/>
    <w:rsid w:val="ED9B316F"/>
    <w:rsid w:val="FA73C43A"/>
    <w:rsid w:val="FDE6088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99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11"/>
    <w:qFormat/>
    <w:uiPriority w:val="0"/>
    <w:pPr>
      <w:ind w:left="100" w:leftChars="2500"/>
    </w:pPr>
  </w:style>
  <w:style w:type="paragraph" w:styleId="3">
    <w:name w:val="Balloon Text"/>
    <w:basedOn w:val="1"/>
    <w:link w:val="12"/>
    <w:unhideWhenUsed/>
    <w:qFormat/>
    <w:uiPriority w:val="0"/>
    <w:rPr>
      <w:sz w:val="18"/>
      <w:szCs w:val="18"/>
    </w:rPr>
  </w:style>
  <w:style w:type="paragraph" w:styleId="4">
    <w:name w:val="footer"/>
    <w:basedOn w:val="1"/>
    <w:link w:val="10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8">
    <w:name w:val="列表段落1"/>
    <w:basedOn w:val="1"/>
    <w:qFormat/>
    <w:uiPriority w:val="34"/>
    <w:pPr>
      <w:ind w:firstLine="420" w:firstLineChars="200"/>
    </w:pPr>
  </w:style>
  <w:style w:type="character" w:customStyle="1" w:styleId="9">
    <w:name w:val="页眉 字符"/>
    <w:basedOn w:val="7"/>
    <w:link w:val="5"/>
    <w:qFormat/>
    <w:uiPriority w:val="0"/>
    <w:rPr>
      <w:kern w:val="2"/>
      <w:sz w:val="18"/>
      <w:szCs w:val="18"/>
    </w:rPr>
  </w:style>
  <w:style w:type="character" w:customStyle="1" w:styleId="10">
    <w:name w:val="页脚 字符"/>
    <w:basedOn w:val="7"/>
    <w:link w:val="4"/>
    <w:qFormat/>
    <w:uiPriority w:val="99"/>
    <w:rPr>
      <w:kern w:val="2"/>
      <w:sz w:val="18"/>
      <w:szCs w:val="18"/>
    </w:rPr>
  </w:style>
  <w:style w:type="character" w:customStyle="1" w:styleId="11">
    <w:name w:val="日期 字符"/>
    <w:basedOn w:val="7"/>
    <w:link w:val="2"/>
    <w:qFormat/>
    <w:uiPriority w:val="0"/>
    <w:rPr>
      <w:kern w:val="2"/>
      <w:sz w:val="21"/>
      <w:szCs w:val="24"/>
    </w:rPr>
  </w:style>
  <w:style w:type="character" w:customStyle="1" w:styleId="12">
    <w:name w:val="批注框文本 字符"/>
    <w:basedOn w:val="7"/>
    <w:link w:val="3"/>
    <w:semiHidden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MS</Company>
  <Pages>3</Pages>
  <Words>455</Words>
  <Characters>2597</Characters>
  <Lines>21</Lines>
  <Paragraphs>6</Paragraphs>
  <TotalTime>2</TotalTime>
  <ScaleCrop>false</ScaleCrop>
  <LinksUpToDate>false</LinksUpToDate>
  <CharactersWithSpaces>3046</CharactersWithSpaces>
  <Application>WPS Office_11.1.0.10578_F1E327BC-269C-435d-A152-05C5408002CA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2019-03-16T08:21:00Z</dcterms:created>
  <dc:creator>user</dc:creator>
  <cp:lastModifiedBy>User</cp:lastModifiedBy>
  <cp:lastPrinted>2018-04-28T09:56:00Z</cp:lastPrinted>
  <dcterms:modified xsi:type="dcterms:W3CDTF">2021-07-02T05:16:54Z</dcterms:modified>
  <cp:revision>118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2052-11.1.0.10578</vt:lpwstr>
  </property>
  <property fmtid="{D5CDD505-2E9C-101B-9397-08002B2CF9AE}" pid="3" name="ICV">
    <vt:lpwstr>7CC63952FED84F5DB9D0EDCA8D251172</vt:lpwstr>
  </property>
</Properties>
</file>