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附件1：</w:t>
      </w:r>
      <w:bookmarkStart w:id="0" w:name="_GoBack"/>
      <w:bookmarkEnd w:id="0"/>
    </w:p>
    <w:p>
      <w:pPr>
        <w:widowControl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ascii="黑体" w:hAnsi="宋体" w:eastAsia="黑体" w:cs="宋体"/>
          <w:kern w:val="0"/>
          <w:sz w:val="44"/>
          <w:szCs w:val="44"/>
        </w:rPr>
        <w:t>202</w:t>
      </w:r>
      <w:r>
        <w:rPr>
          <w:rFonts w:hint="eastAsia" w:ascii="黑体" w:hAnsi="宋体" w:eastAsia="黑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宋体" w:eastAsia="黑体" w:cs="宋体"/>
          <w:kern w:val="0"/>
          <w:sz w:val="44"/>
          <w:szCs w:val="44"/>
        </w:rPr>
        <w:t>年嘉定区学校办学绩效评估工作方案</w:t>
      </w: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（征求意见稿）</w:t>
      </w:r>
    </w:p>
    <w:p>
      <w:pPr>
        <w:widowControl/>
        <w:spacing w:line="520" w:lineRule="exact"/>
        <w:rPr>
          <w:rFonts w:ascii="仿宋_GB2312" w:hAnsi="黑体" w:eastAsia="仿宋_GB2312" w:cs="宋体"/>
          <w:b/>
          <w:bCs/>
          <w:kern w:val="0"/>
          <w:sz w:val="30"/>
          <w:szCs w:val="30"/>
        </w:rPr>
      </w:pPr>
    </w:p>
    <w:p>
      <w:pPr>
        <w:widowControl/>
        <w:spacing w:line="520" w:lineRule="exact"/>
        <w:ind w:firstLine="600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一、指导思想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紧紧围绕202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年度嘉定区教育工作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总体思路和发展目标，</w:t>
      </w:r>
      <w:r>
        <w:rPr>
          <w:rFonts w:hint="eastAsia" w:ascii="仿宋_GB2312" w:hAnsi="宋体" w:eastAsia="仿宋_GB2312"/>
          <w:sz w:val="30"/>
          <w:szCs w:val="30"/>
        </w:rPr>
        <w:t>充分发挥教育评估的激励导向作用，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引导各</w:t>
      </w:r>
      <w:r>
        <w:rPr>
          <w:rFonts w:hint="eastAsia" w:ascii="仿宋_GB2312" w:hAnsi="宋体" w:eastAsia="仿宋_GB2312"/>
          <w:sz w:val="30"/>
          <w:szCs w:val="30"/>
        </w:rPr>
        <w:t>级各类学校在依法规范办学的基础上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落实</w:t>
      </w:r>
      <w:r>
        <w:rPr>
          <w:rFonts w:hint="eastAsia" w:ascii="仿宋_GB2312" w:hAnsi="宋体" w:eastAsia="仿宋_GB2312"/>
          <w:kern w:val="0"/>
          <w:sz w:val="30"/>
          <w:szCs w:val="30"/>
        </w:rPr>
        <w:t>“十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四</w:t>
      </w:r>
      <w:r>
        <w:rPr>
          <w:rFonts w:hint="eastAsia" w:ascii="仿宋_GB2312" w:hAnsi="宋体" w:eastAsia="仿宋_GB2312"/>
          <w:kern w:val="0"/>
          <w:sz w:val="30"/>
          <w:szCs w:val="30"/>
        </w:rPr>
        <w:t>五”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规划</w:t>
      </w:r>
      <w:r>
        <w:rPr>
          <w:rFonts w:hint="eastAsia" w:ascii="仿宋_GB2312" w:hAnsi="宋体" w:eastAsia="仿宋_GB2312"/>
          <w:kern w:val="0"/>
          <w:sz w:val="30"/>
          <w:szCs w:val="30"/>
        </w:rPr>
        <w:t>，深化品质教育内涵建设，</w:t>
      </w:r>
      <w:r>
        <w:rPr>
          <w:rFonts w:hint="eastAsia" w:ascii="仿宋_GB2312" w:hAnsi="宋体" w:eastAsia="仿宋_GB2312"/>
          <w:sz w:val="30"/>
          <w:szCs w:val="30"/>
        </w:rPr>
        <w:t xml:space="preserve">推进嘉定教育现代化进程。 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ascii="黑体" w:hAnsi="黑体" w:eastAsia="黑体" w:cs="宋体"/>
          <w:bCs/>
          <w:kern w:val="0"/>
          <w:sz w:val="30"/>
          <w:szCs w:val="30"/>
        </w:rPr>
        <w:pict>
          <v:line id="直接连接符 1" o:spid="_x0000_s1026" o:spt="20" style="position:absolute;left:0pt;margin-left:9pt;margin-top:7.75pt;height:0pt;width:434pt;visibility:hidden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二、评估对象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全区各级各类学校、直属单位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三、评估内容</w:t>
      </w:r>
    </w:p>
    <w:p>
      <w:pPr>
        <w:widowControl/>
        <w:spacing w:line="520" w:lineRule="exact"/>
        <w:ind w:firstLine="602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1.基础性指标（达标、未达标）——属于规定动作，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要求学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0"/>
          <w:szCs w:val="30"/>
        </w:rPr>
        <w:t>校常规工作全到位。</w:t>
      </w: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包括党的建设、学校管理、师资队伍、德育工作、教学工作、体卫科艺等，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体现基础性和可测性。</w:t>
      </w:r>
    </w:p>
    <w:p>
      <w:pPr>
        <w:widowControl/>
        <w:spacing w:line="520" w:lineRule="exact"/>
        <w:ind w:firstLine="602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2.发展性指标</w:t>
      </w:r>
      <w:r>
        <w:rPr>
          <w:rFonts w:hint="eastAsia" w:ascii="仿宋_GB2312" w:hAnsi="宋体" w:eastAsia="仿宋_GB2312" w:cs="宋体"/>
          <w:b/>
          <w:color w:val="000000" w:themeColor="text1"/>
          <w:spacing w:val="-8"/>
          <w:kern w:val="0"/>
          <w:sz w:val="30"/>
          <w:szCs w:val="30"/>
        </w:rPr>
        <w:t>（得分）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——</w:t>
      </w:r>
      <w:r>
        <w:rPr>
          <w:rFonts w:hint="eastAsia" w:ascii="仿宋_GB2312" w:hAnsi="宋体" w:eastAsia="仿宋_GB2312" w:cs="宋体"/>
          <w:b/>
          <w:color w:val="000000" w:themeColor="text1"/>
          <w:spacing w:val="-8"/>
          <w:kern w:val="0"/>
          <w:sz w:val="30"/>
          <w:szCs w:val="30"/>
        </w:rPr>
        <w:t>属于工作成效，要求学校提升质量显成效。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包括学生发展指数、教师发展指数、学校发展指数、各界评价，体现导向性和发展性。</w:t>
      </w:r>
    </w:p>
    <w:p>
      <w:pPr>
        <w:widowControl/>
        <w:spacing w:line="520" w:lineRule="exact"/>
        <w:ind w:firstLine="602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3.警戒性指标（是、否）——属于一票否决，要求学校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依法办学不违规。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包括党风廉政、招生收费、安全卫生、财务资产、师德师风等，任何学校不得以任何理由触碰。</w:t>
      </w:r>
    </w:p>
    <w:p>
      <w:pPr>
        <w:widowControl/>
        <w:spacing w:line="520" w:lineRule="exact"/>
        <w:ind w:firstLine="602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（详见各类学校年度绩效评估指标）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四、评估方法</w:t>
      </w:r>
    </w:p>
    <w:p>
      <w:pPr>
        <w:widowControl/>
        <w:spacing w:line="520" w:lineRule="exact"/>
        <w:ind w:firstLine="602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1．分级分类按比例综合评定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学校绩效评估强调激励与制约，凸显年度工作重点，既考虑学校之间横向比较，又兼顾学校自身纵向发展。按照学校类型的不同共分十类，包含：公办高中、公办初中、公办九年一贯制学校、公办小学、公办幼儿园、成人学校、民办学校、民办随迁子女小学、民办幼儿园、其他单位。同时根据办学基础不同，分层次、分类别按比例进行评估，提高各级各类学校办学积极性。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2．过程性评估与年度汇总相结合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通过日常调研、在线统计等方法，加强过程性评估；年底汇总相关材料与数据，进行综合评估。 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3．学校个体与团队捆绑评估相结合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基础性和警戒性指标以单位个体评估为主；在发展性指标中，对于学区化集团化办学、网格党建等项目以捆绑评估为主，促进学校协同发展、均衡发展。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4．定性与定量评估相结合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基础性指标、警戒性指标以定性评估为主，促进依法规范，保障学校的基础工作和底线要求；发展性指标以定量评估为主，促进自主发展，体现学校工作绩效。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5．多级联动与多元参与相结合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/>
          <w:color w:val="000000" w:themeColor="text1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实行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相关领导、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科室、部门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多级联动以及相关单位、督学、家长多元参与的综合评估。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各科室、部门、条线成立考核小组，依据评估指标进行评价。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相关领导依据日常工作、学校互评、督学评价进行</w:t>
      </w:r>
      <w:r>
        <w:rPr>
          <w:rFonts w:hint="eastAsia" w:ascii="仿宋_GB2312" w:hAnsi="宋体" w:eastAsia="仿宋_GB2312"/>
          <w:sz w:val="30"/>
          <w:szCs w:val="30"/>
        </w:rPr>
        <w:t>综合评估。全样本家长在网络平台进行满意度测评。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</w:rPr>
        <w:t>督导室牵头组织，并汇总考核结果报局党政班子审核。</w:t>
      </w:r>
    </w:p>
    <w:p>
      <w:pPr>
        <w:widowControl/>
        <w:spacing w:line="520" w:lineRule="exact"/>
        <w:ind w:firstLine="600" w:firstLineChars="200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五、评估结果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1．综合评定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学校绩效评估采用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“一依据两限定”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方式进行，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“一依据”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是依据发展性指标的得分情况，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“两限定”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是将基础性指标和警戒性指标作为限定条件。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考核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结果将综合各单位基础性指标达标情况、发展性指标得分情况、警戒性指标触碰情况分五个等级：优秀、先进、达标、基本达标，不达标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。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2．单项奖励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对于年度工作中在某一方面取得重大成绩，但综合评定没有被评上优秀、先进的单位，设立单项奖，鼓励学校推进教育综合改革，创建办学特色。</w:t>
      </w:r>
    </w:p>
    <w:p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3．评定比例</w:t>
      </w:r>
    </w:p>
    <w:p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优秀10%、先进30%、单项奖若干。</w:t>
      </w:r>
    </w:p>
    <w:p>
      <w:pPr>
        <w:widowControl/>
        <w:spacing w:line="450" w:lineRule="exact"/>
        <w:ind w:firstLine="600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</w:p>
    <w:p>
      <w:pPr>
        <w:widowControl/>
        <w:spacing w:line="450" w:lineRule="exact"/>
        <w:ind w:firstLine="600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</w:p>
    <w:p>
      <w:pPr>
        <w:widowControl/>
        <w:spacing w:line="450" w:lineRule="exact"/>
        <w:ind w:firstLine="600" w:firstLineChars="2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</w:p>
    <w:p>
      <w:pPr>
        <w:spacing w:line="450" w:lineRule="exact"/>
        <w:jc w:val="distribute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 xml:space="preserve">                           </w:t>
      </w:r>
      <w:r>
        <w:rPr>
          <w:rFonts w:ascii="仿宋_GB2312" w:eastAsia="仿宋_GB2312" w:hAnsiTheme="minorEastAsia"/>
          <w:color w:val="000000" w:themeColor="text1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 xml:space="preserve"> 上海市嘉定区教育局</w:t>
      </w:r>
    </w:p>
    <w:p>
      <w:pPr>
        <w:spacing w:line="450" w:lineRule="exact"/>
        <w:jc w:val="distribute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 xml:space="preserve">                            </w:t>
      </w:r>
      <w:r>
        <w:rPr>
          <w:rFonts w:ascii="仿宋_GB2312" w:eastAsia="仿宋_GB2312" w:hAnsiTheme="minorEastAsia"/>
          <w:color w:val="000000" w:themeColor="text1"/>
          <w:sz w:val="30"/>
          <w:szCs w:val="30"/>
        </w:rPr>
        <w:t xml:space="preserve">  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 xml:space="preserve"> 嘉定区人民政府教育督导室</w:t>
      </w:r>
    </w:p>
    <w:p>
      <w:pPr>
        <w:ind w:right="450"/>
        <w:jc w:val="right"/>
        <w:rPr>
          <w:rFonts w:ascii="仿宋_GB2312" w:eastAsia="仿宋_GB2312" w:hAnsiTheme="min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202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年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hAnsiTheme="minorEastAsia"/>
          <w:sz w:val="30"/>
          <w:szCs w:val="30"/>
        </w:rPr>
        <w:t>月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30"/>
          <w:szCs w:val="30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1644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2C7"/>
    <w:rsid w:val="00004326"/>
    <w:rsid w:val="00004ACF"/>
    <w:rsid w:val="0000525C"/>
    <w:rsid w:val="0001021A"/>
    <w:rsid w:val="000177EB"/>
    <w:rsid w:val="00024069"/>
    <w:rsid w:val="0003739B"/>
    <w:rsid w:val="0005457A"/>
    <w:rsid w:val="0006480B"/>
    <w:rsid w:val="00067D1B"/>
    <w:rsid w:val="0009658E"/>
    <w:rsid w:val="000A12C7"/>
    <w:rsid w:val="000A1E9A"/>
    <w:rsid w:val="000A2D01"/>
    <w:rsid w:val="000A2EC1"/>
    <w:rsid w:val="000A3B32"/>
    <w:rsid w:val="000A4979"/>
    <w:rsid w:val="000B4744"/>
    <w:rsid w:val="000D4580"/>
    <w:rsid w:val="000D783C"/>
    <w:rsid w:val="000E37A3"/>
    <w:rsid w:val="00106B0A"/>
    <w:rsid w:val="001101FD"/>
    <w:rsid w:val="001130D9"/>
    <w:rsid w:val="00131B00"/>
    <w:rsid w:val="00137DFB"/>
    <w:rsid w:val="0014267E"/>
    <w:rsid w:val="00165A1F"/>
    <w:rsid w:val="001813E9"/>
    <w:rsid w:val="001839FF"/>
    <w:rsid w:val="001A051C"/>
    <w:rsid w:val="001A777D"/>
    <w:rsid w:val="001B2F89"/>
    <w:rsid w:val="001B449D"/>
    <w:rsid w:val="001B509C"/>
    <w:rsid w:val="001B5E90"/>
    <w:rsid w:val="001B60E8"/>
    <w:rsid w:val="001C3EAB"/>
    <w:rsid w:val="001C57A7"/>
    <w:rsid w:val="001C7D00"/>
    <w:rsid w:val="001E7BC4"/>
    <w:rsid w:val="00205E17"/>
    <w:rsid w:val="00205EDB"/>
    <w:rsid w:val="00222CCD"/>
    <w:rsid w:val="002230BC"/>
    <w:rsid w:val="0025368D"/>
    <w:rsid w:val="002B1605"/>
    <w:rsid w:val="002F1C68"/>
    <w:rsid w:val="00306BF6"/>
    <w:rsid w:val="00332A21"/>
    <w:rsid w:val="003416B6"/>
    <w:rsid w:val="00347719"/>
    <w:rsid w:val="00361C47"/>
    <w:rsid w:val="00372D9B"/>
    <w:rsid w:val="003873FB"/>
    <w:rsid w:val="00390E34"/>
    <w:rsid w:val="00396B97"/>
    <w:rsid w:val="003A4DDA"/>
    <w:rsid w:val="003C15BB"/>
    <w:rsid w:val="003D18E3"/>
    <w:rsid w:val="003E0B4C"/>
    <w:rsid w:val="003E1F17"/>
    <w:rsid w:val="003E2FCE"/>
    <w:rsid w:val="003E642B"/>
    <w:rsid w:val="003F70F6"/>
    <w:rsid w:val="003F78AE"/>
    <w:rsid w:val="00411C1D"/>
    <w:rsid w:val="004136A7"/>
    <w:rsid w:val="00471ED9"/>
    <w:rsid w:val="00480964"/>
    <w:rsid w:val="004B316D"/>
    <w:rsid w:val="004E7933"/>
    <w:rsid w:val="004F605C"/>
    <w:rsid w:val="0052014F"/>
    <w:rsid w:val="00522855"/>
    <w:rsid w:val="00526A47"/>
    <w:rsid w:val="0053362F"/>
    <w:rsid w:val="00535260"/>
    <w:rsid w:val="00536FF3"/>
    <w:rsid w:val="00554CD3"/>
    <w:rsid w:val="00566085"/>
    <w:rsid w:val="0056695E"/>
    <w:rsid w:val="00577D71"/>
    <w:rsid w:val="00593676"/>
    <w:rsid w:val="005B3129"/>
    <w:rsid w:val="005B33CC"/>
    <w:rsid w:val="005C5214"/>
    <w:rsid w:val="005C58A1"/>
    <w:rsid w:val="005D7DB0"/>
    <w:rsid w:val="005E5366"/>
    <w:rsid w:val="005F462B"/>
    <w:rsid w:val="00606C4D"/>
    <w:rsid w:val="00624EC4"/>
    <w:rsid w:val="0063158D"/>
    <w:rsid w:val="00631A0C"/>
    <w:rsid w:val="00657728"/>
    <w:rsid w:val="006675EC"/>
    <w:rsid w:val="006873DE"/>
    <w:rsid w:val="006879EC"/>
    <w:rsid w:val="006B6808"/>
    <w:rsid w:val="006C536F"/>
    <w:rsid w:val="006E14D3"/>
    <w:rsid w:val="006E5EB3"/>
    <w:rsid w:val="006F4A9B"/>
    <w:rsid w:val="00712C8F"/>
    <w:rsid w:val="0072102D"/>
    <w:rsid w:val="00723B94"/>
    <w:rsid w:val="00732064"/>
    <w:rsid w:val="007357A8"/>
    <w:rsid w:val="00777419"/>
    <w:rsid w:val="0079133A"/>
    <w:rsid w:val="007A26F0"/>
    <w:rsid w:val="007B4916"/>
    <w:rsid w:val="007C05A0"/>
    <w:rsid w:val="007C3BA6"/>
    <w:rsid w:val="007D5692"/>
    <w:rsid w:val="007E38BE"/>
    <w:rsid w:val="007E6918"/>
    <w:rsid w:val="007F2E59"/>
    <w:rsid w:val="00801C3E"/>
    <w:rsid w:val="008145AB"/>
    <w:rsid w:val="00824EDB"/>
    <w:rsid w:val="00825C8D"/>
    <w:rsid w:val="008505EA"/>
    <w:rsid w:val="008666F0"/>
    <w:rsid w:val="008A0EB6"/>
    <w:rsid w:val="008A52AB"/>
    <w:rsid w:val="008B0590"/>
    <w:rsid w:val="008B411C"/>
    <w:rsid w:val="008E3344"/>
    <w:rsid w:val="008E338A"/>
    <w:rsid w:val="008E3A2D"/>
    <w:rsid w:val="008E73DE"/>
    <w:rsid w:val="0091309E"/>
    <w:rsid w:val="00934704"/>
    <w:rsid w:val="00940404"/>
    <w:rsid w:val="0095409D"/>
    <w:rsid w:val="009610D3"/>
    <w:rsid w:val="00963483"/>
    <w:rsid w:val="0097017E"/>
    <w:rsid w:val="00971A6C"/>
    <w:rsid w:val="009857CB"/>
    <w:rsid w:val="009A43B4"/>
    <w:rsid w:val="009E23CC"/>
    <w:rsid w:val="009E4B21"/>
    <w:rsid w:val="009E4C94"/>
    <w:rsid w:val="009F14AA"/>
    <w:rsid w:val="009F20E7"/>
    <w:rsid w:val="00A22A96"/>
    <w:rsid w:val="00A3224F"/>
    <w:rsid w:val="00A415E8"/>
    <w:rsid w:val="00A41A88"/>
    <w:rsid w:val="00A42C3B"/>
    <w:rsid w:val="00A4677D"/>
    <w:rsid w:val="00A529C1"/>
    <w:rsid w:val="00A617C3"/>
    <w:rsid w:val="00A62A05"/>
    <w:rsid w:val="00A87960"/>
    <w:rsid w:val="00A95725"/>
    <w:rsid w:val="00AB26D1"/>
    <w:rsid w:val="00AB4AA6"/>
    <w:rsid w:val="00AB6A60"/>
    <w:rsid w:val="00AD09AA"/>
    <w:rsid w:val="00AE773F"/>
    <w:rsid w:val="00AF09C9"/>
    <w:rsid w:val="00AF70FC"/>
    <w:rsid w:val="00B01243"/>
    <w:rsid w:val="00B03A53"/>
    <w:rsid w:val="00B07B01"/>
    <w:rsid w:val="00B24829"/>
    <w:rsid w:val="00B443A0"/>
    <w:rsid w:val="00B448A0"/>
    <w:rsid w:val="00B60BCA"/>
    <w:rsid w:val="00B66974"/>
    <w:rsid w:val="00B66B5B"/>
    <w:rsid w:val="00B73C8D"/>
    <w:rsid w:val="00B7762C"/>
    <w:rsid w:val="00B81119"/>
    <w:rsid w:val="00B83023"/>
    <w:rsid w:val="00BA7638"/>
    <w:rsid w:val="00BB4747"/>
    <w:rsid w:val="00BD0AA8"/>
    <w:rsid w:val="00BD10DA"/>
    <w:rsid w:val="00BD2113"/>
    <w:rsid w:val="00BE098A"/>
    <w:rsid w:val="00BE47B8"/>
    <w:rsid w:val="00BE776B"/>
    <w:rsid w:val="00BE7EA9"/>
    <w:rsid w:val="00BF4826"/>
    <w:rsid w:val="00C010ED"/>
    <w:rsid w:val="00C232B7"/>
    <w:rsid w:val="00C31444"/>
    <w:rsid w:val="00C42548"/>
    <w:rsid w:val="00C524E7"/>
    <w:rsid w:val="00C602A9"/>
    <w:rsid w:val="00C80FAA"/>
    <w:rsid w:val="00C86FEB"/>
    <w:rsid w:val="00C87EA2"/>
    <w:rsid w:val="00C934E8"/>
    <w:rsid w:val="00CB0656"/>
    <w:rsid w:val="00CC038E"/>
    <w:rsid w:val="00CC7AF1"/>
    <w:rsid w:val="00CE0AB8"/>
    <w:rsid w:val="00CE2ACA"/>
    <w:rsid w:val="00D0623A"/>
    <w:rsid w:val="00D45D30"/>
    <w:rsid w:val="00D63426"/>
    <w:rsid w:val="00D7268E"/>
    <w:rsid w:val="00D91E53"/>
    <w:rsid w:val="00DB603F"/>
    <w:rsid w:val="00DD24C6"/>
    <w:rsid w:val="00DD6B0C"/>
    <w:rsid w:val="00DD7082"/>
    <w:rsid w:val="00E02FE0"/>
    <w:rsid w:val="00E13026"/>
    <w:rsid w:val="00E17411"/>
    <w:rsid w:val="00E22D89"/>
    <w:rsid w:val="00E26016"/>
    <w:rsid w:val="00E2721D"/>
    <w:rsid w:val="00E366D3"/>
    <w:rsid w:val="00E42EED"/>
    <w:rsid w:val="00E70E66"/>
    <w:rsid w:val="00E7396C"/>
    <w:rsid w:val="00E800C1"/>
    <w:rsid w:val="00E96B07"/>
    <w:rsid w:val="00EA48C6"/>
    <w:rsid w:val="00EB7D9C"/>
    <w:rsid w:val="00ED06FC"/>
    <w:rsid w:val="00ED0ACD"/>
    <w:rsid w:val="00ED61F1"/>
    <w:rsid w:val="00EE7302"/>
    <w:rsid w:val="00EF02D5"/>
    <w:rsid w:val="00F0579B"/>
    <w:rsid w:val="00F1507A"/>
    <w:rsid w:val="00F26F32"/>
    <w:rsid w:val="00F411BB"/>
    <w:rsid w:val="00F44707"/>
    <w:rsid w:val="00F456FE"/>
    <w:rsid w:val="00F46968"/>
    <w:rsid w:val="00F47543"/>
    <w:rsid w:val="00F53A69"/>
    <w:rsid w:val="00FB578B"/>
    <w:rsid w:val="00FB73B1"/>
    <w:rsid w:val="00FB7604"/>
    <w:rsid w:val="00FC1945"/>
    <w:rsid w:val="00FE05A6"/>
    <w:rsid w:val="06DF2398"/>
    <w:rsid w:val="06F26D94"/>
    <w:rsid w:val="0ACE2305"/>
    <w:rsid w:val="12C21DE0"/>
    <w:rsid w:val="17070E78"/>
    <w:rsid w:val="1E6B7FDD"/>
    <w:rsid w:val="21A839D9"/>
    <w:rsid w:val="282B15EC"/>
    <w:rsid w:val="2B60419D"/>
    <w:rsid w:val="2D6E76B7"/>
    <w:rsid w:val="317742F6"/>
    <w:rsid w:val="35F0490E"/>
    <w:rsid w:val="364C55BC"/>
    <w:rsid w:val="373C0AB3"/>
    <w:rsid w:val="3815663C"/>
    <w:rsid w:val="3A754929"/>
    <w:rsid w:val="3BA17AB8"/>
    <w:rsid w:val="3C0B2FE8"/>
    <w:rsid w:val="3C4C22E2"/>
    <w:rsid w:val="3E8759CF"/>
    <w:rsid w:val="46DE6AEA"/>
    <w:rsid w:val="4DF746DE"/>
    <w:rsid w:val="4F815431"/>
    <w:rsid w:val="53E61115"/>
    <w:rsid w:val="58225721"/>
    <w:rsid w:val="5E842AE1"/>
    <w:rsid w:val="60F348E6"/>
    <w:rsid w:val="6204674F"/>
    <w:rsid w:val="70D4037E"/>
    <w:rsid w:val="71223412"/>
    <w:rsid w:val="751378E4"/>
    <w:rsid w:val="7AB00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6A1FF-FD8F-4BF6-8235-FA07A7D42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196</Words>
  <Characters>1118</Characters>
  <Lines>9</Lines>
  <Paragraphs>2</Paragraphs>
  <TotalTime>0</TotalTime>
  <ScaleCrop>false</ScaleCrop>
  <LinksUpToDate>false</LinksUpToDate>
  <CharactersWithSpaces>1312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2019-04-01T02:22:00Z</dcterms:created>
  <dc:creator>USER-</dc:creator>
  <cp:lastModifiedBy>jd</cp:lastModifiedBy>
  <cp:lastPrinted>2019-04-02T07:30:00Z</cp:lastPrinted>
  <dcterms:modified xsi:type="dcterms:W3CDTF">2021-07-02T05:32:45Z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