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bookmarkStart w:id="0" w:name="_GoBack"/>
      <w:bookmarkEnd w:id="0"/>
    </w:p>
    <w:p>
      <w:pPr>
        <w:adjustRightInd w:val="0"/>
        <w:snapToGrid w:val="0"/>
        <w:spacing w:line="540" w:lineRule="exact"/>
        <w:ind w:left="0" w:leftChars="0" w:firstLine="0" w:firstLineChars="0"/>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重点检查领域</w:t>
      </w:r>
    </w:p>
    <w:p>
      <w:pPr>
        <w:adjustRightInd w:val="0"/>
        <w:snapToGrid w:val="0"/>
        <w:spacing w:line="540" w:lineRule="exact"/>
        <w:ind w:firstLine="588"/>
        <w:rPr>
          <w:rFonts w:hint="eastAsia" w:ascii="楷体_GB2312" w:hAnsi="Times New Roman" w:eastAsia="楷体_GB2312" w:cs="Times New Roman"/>
          <w:sz w:val="30"/>
          <w:szCs w:val="30"/>
          <w:lang w:val="en-US" w:eastAsia="zh-CN"/>
        </w:rPr>
      </w:pPr>
    </w:p>
    <w:p>
      <w:pPr>
        <w:adjustRightInd w:val="0"/>
        <w:snapToGrid w:val="0"/>
        <w:spacing w:line="540" w:lineRule="exact"/>
        <w:ind w:firstLine="588"/>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一、在建工程检查重点</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eastAsia" w:ascii="仿宋_GB2312" w:hAnsi="宋体" w:eastAsia="仿宋_GB2312" w:cs="Times New Roman"/>
          <w:sz w:val="30"/>
          <w:szCs w:val="30"/>
          <w:lang w:val="en-US" w:eastAsia="zh-CN"/>
        </w:rPr>
      </w:pPr>
      <w:r>
        <w:rPr>
          <w:rFonts w:hint="eastAsia" w:ascii="仿宋_GB2312" w:hAnsi="宋体" w:eastAsia="仿宋_GB2312" w:cs="Times New Roman"/>
          <w:b/>
          <w:bCs/>
          <w:sz w:val="30"/>
          <w:szCs w:val="30"/>
          <w:lang w:val="en-US" w:eastAsia="zh-CN"/>
        </w:rPr>
        <w:t>1.安全生产责任制。</w:t>
      </w:r>
      <w:r>
        <w:rPr>
          <w:rFonts w:hint="eastAsia" w:ascii="仿宋_GB2312" w:hAnsi="宋体" w:eastAsia="仿宋_GB2312" w:cs="Times New Roman"/>
          <w:sz w:val="30"/>
          <w:szCs w:val="30"/>
          <w:lang w:val="en-US" w:eastAsia="zh-CN"/>
        </w:rPr>
        <w:t>学校基建领域应建立安全生产责任制和责任追究体系；明确安全责任网络；制定应急预案；完善突发事件处置机制；签订安全生产责任状；明确岗位安全职责；安全工作职责履行到位；健全安全工作档案等。</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eastAsia" w:ascii="仿宋_GB2312" w:hAnsi="宋体" w:eastAsia="仿宋_GB2312" w:cs="Times New Roman"/>
          <w:sz w:val="30"/>
          <w:szCs w:val="30"/>
          <w:lang w:val="en-US" w:eastAsia="zh-CN"/>
        </w:rPr>
      </w:pPr>
      <w:r>
        <w:rPr>
          <w:rFonts w:hint="eastAsia" w:ascii="仿宋_GB2312" w:hAnsi="宋体" w:eastAsia="仿宋_GB2312" w:cs="Times New Roman"/>
          <w:b/>
          <w:bCs/>
          <w:sz w:val="30"/>
          <w:szCs w:val="30"/>
          <w:lang w:val="en-US" w:eastAsia="zh-CN"/>
        </w:rPr>
        <w:t>2.项目人员。</w:t>
      </w:r>
      <w:r>
        <w:rPr>
          <w:rFonts w:hint="eastAsia" w:ascii="仿宋_GB2312" w:hAnsi="宋体" w:eastAsia="仿宋_GB2312" w:cs="Times New Roman"/>
          <w:sz w:val="30"/>
          <w:szCs w:val="30"/>
          <w:lang w:val="en-US" w:eastAsia="zh-CN"/>
        </w:rPr>
        <w:t>查阅在建工程安全管理机构设置情况、安全管理人员培训情况、特殊工种操作人员持证上岗情况。在建工程项目部是否按规定足额配备专职安全生产管理人员；项目负责人、项目专职安全生产管理人员是否按规定取得安全生产考核合格证书；项目负责人是否认真履行带班制度，并有记录和签字，检查时是否在岗；被抽查特种作业人员是否取得建筑施工特种作业人员操作资格证书；项目总监检查时是否在岗。</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eastAsia" w:ascii="仿宋_GB2312" w:hAnsi="宋体" w:eastAsia="仿宋_GB2312" w:cs="Times New Roman"/>
          <w:sz w:val="30"/>
          <w:szCs w:val="30"/>
          <w:lang w:val="en-US" w:eastAsia="zh-CN"/>
        </w:rPr>
      </w:pPr>
      <w:r>
        <w:rPr>
          <w:rFonts w:hint="eastAsia" w:ascii="仿宋_GB2312" w:hAnsi="宋体" w:eastAsia="仿宋_GB2312" w:cs="Times New Roman"/>
          <w:b/>
          <w:bCs/>
          <w:sz w:val="30"/>
          <w:szCs w:val="30"/>
          <w:lang w:val="en-US" w:eastAsia="zh-CN"/>
        </w:rPr>
        <w:t>3.工地安全检查。</w:t>
      </w:r>
      <w:r>
        <w:rPr>
          <w:rFonts w:hint="eastAsia" w:ascii="仿宋_GB2312" w:hAnsi="宋体" w:eastAsia="仿宋_GB2312" w:cs="Times New Roman"/>
          <w:sz w:val="30"/>
          <w:szCs w:val="30"/>
          <w:lang w:val="en-US" w:eastAsia="zh-CN"/>
        </w:rPr>
        <w:t>在建工程项目部应建立安全检查制度；安全检查应由住建部门、项目总监理工程师、施工单位项目经理组织，专职安全员及相关专业人员参加，定期进行并填写检查记录；对检查中发现的事故隐患应下达隐患整改通知单，定人、定时间、定措施进行整改。重大事故隐患整改后，应由相关部门组织复查。</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eastAsia" w:ascii="仿宋_GB2312" w:hAnsi="宋体" w:eastAsia="仿宋_GB2312" w:cs="Times New Roman"/>
          <w:sz w:val="30"/>
          <w:szCs w:val="30"/>
          <w:lang w:val="en-US" w:eastAsia="zh-CN"/>
        </w:rPr>
      </w:pPr>
      <w:r>
        <w:rPr>
          <w:rFonts w:hint="eastAsia" w:ascii="仿宋_GB2312" w:hAnsi="宋体" w:eastAsia="仿宋_GB2312" w:cs="Times New Roman"/>
          <w:b/>
          <w:bCs/>
          <w:sz w:val="30"/>
          <w:szCs w:val="30"/>
          <w:lang w:val="en-US" w:eastAsia="zh-CN"/>
        </w:rPr>
        <w:t>4.应急救援。</w:t>
      </w:r>
      <w:r>
        <w:rPr>
          <w:rFonts w:hint="eastAsia" w:ascii="仿宋_GB2312" w:hAnsi="宋体" w:eastAsia="仿宋_GB2312" w:cs="Times New Roman"/>
          <w:sz w:val="30"/>
          <w:szCs w:val="30"/>
          <w:lang w:val="en-US" w:eastAsia="zh-CN"/>
        </w:rPr>
        <w:t>在建工程项目部应针对工程特点，进行重大危险源的辨识。应制定防触电、防坍塌、防高处坠落、防起重及机械伤害、防火灾、防物体打击等主要内容的专项应急救援预案，并对施工现场易发生重大安全事故的部位、环节进行监控；施工现场应建立应急救援组织，培训、配备应急救援人员，定期组织员工进行应急救援演练；按应急救援预案要求，应配备应急救援器材和设备。</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eastAsia" w:ascii="仿宋_GB2312" w:hAnsi="宋体" w:eastAsia="仿宋_GB2312" w:cs="Times New Roman"/>
          <w:sz w:val="30"/>
          <w:szCs w:val="30"/>
          <w:lang w:val="en-US" w:eastAsia="zh-CN"/>
        </w:rPr>
      </w:pPr>
      <w:r>
        <w:rPr>
          <w:rFonts w:hint="eastAsia" w:ascii="仿宋_GB2312" w:hAnsi="宋体" w:eastAsia="仿宋_GB2312" w:cs="Times New Roman"/>
          <w:b/>
          <w:bCs/>
          <w:sz w:val="30"/>
          <w:szCs w:val="30"/>
          <w:lang w:val="en-US" w:eastAsia="zh-CN"/>
        </w:rPr>
        <w:t>5.现场围挡与封闭管理。</w:t>
      </w:r>
      <w:r>
        <w:rPr>
          <w:rFonts w:hint="eastAsia" w:ascii="仿宋_GB2312" w:hAnsi="宋体" w:eastAsia="仿宋_GB2312" w:cs="Times New Roman"/>
          <w:sz w:val="30"/>
          <w:szCs w:val="30"/>
          <w:lang w:val="en-US" w:eastAsia="zh-CN"/>
        </w:rPr>
        <w:t>施工现场进出口应设置大门，并应设置门卫值班室；应建立门卫值守管理制度，并应配备门卫值守人员；施工人员进入施工现场应佩戴工作卡；施工现场出入口应标有企业名称或标识，并应设置车辆冲洗设施。主要路段的工地应设置高度不小于2.5m的封闭围挡；一般路段的工地应设置高度不小于1.8m的封闭围挡；围挡应坚固、稳定、整洁、美观。</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eastAsia" w:ascii="仿宋_GB2312" w:hAnsi="宋体" w:eastAsia="仿宋_GB2312" w:cs="Times New Roman"/>
          <w:sz w:val="30"/>
          <w:szCs w:val="30"/>
          <w:lang w:val="en-US" w:eastAsia="zh-CN"/>
        </w:rPr>
      </w:pPr>
      <w:r>
        <w:rPr>
          <w:rFonts w:hint="eastAsia" w:ascii="仿宋_GB2312" w:hAnsi="宋体" w:eastAsia="仿宋_GB2312" w:cs="Times New Roman"/>
          <w:b/>
          <w:bCs/>
          <w:sz w:val="30"/>
          <w:szCs w:val="30"/>
          <w:lang w:val="en-US" w:eastAsia="zh-CN"/>
        </w:rPr>
        <w:t>6.材料管理。</w:t>
      </w:r>
      <w:r>
        <w:rPr>
          <w:rFonts w:hint="eastAsia" w:ascii="仿宋_GB2312" w:hAnsi="宋体" w:eastAsia="仿宋_GB2312" w:cs="Times New Roman"/>
          <w:sz w:val="30"/>
          <w:szCs w:val="30"/>
          <w:lang w:val="en-US" w:eastAsia="zh-CN"/>
        </w:rPr>
        <w:t xml:space="preserve">建筑材料、构件、料具应按总平面布局进行码放；材料应码放整齐，并应标明名称、规格等；施工现场材料码放应采取防火、防锈蚀、防雨等措施；建筑物内施工垃圾的清运，应采用器具或管道运输，严禁随意抛掷；易燃易爆物品应分类储藏在专用库房内，并应制定防火措施。 </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eastAsia" w:ascii="仿宋_GB2312" w:hAnsi="宋体" w:eastAsia="仿宋_GB2312" w:cs="Times New Roman"/>
          <w:sz w:val="30"/>
          <w:szCs w:val="30"/>
          <w:lang w:val="en-US" w:eastAsia="zh-CN"/>
        </w:rPr>
      </w:pPr>
      <w:r>
        <w:rPr>
          <w:rFonts w:hint="eastAsia" w:ascii="仿宋_GB2312" w:hAnsi="宋体" w:eastAsia="仿宋_GB2312" w:cs="Times New Roman"/>
          <w:b/>
          <w:bCs/>
          <w:sz w:val="30"/>
          <w:szCs w:val="30"/>
          <w:lang w:val="en-US" w:eastAsia="zh-CN"/>
        </w:rPr>
        <w:t>7.现场防火。</w:t>
      </w:r>
      <w:r>
        <w:rPr>
          <w:rFonts w:hint="eastAsia" w:ascii="仿宋_GB2312" w:hAnsi="宋体" w:eastAsia="仿宋_GB2312" w:cs="Times New Roman"/>
          <w:sz w:val="30"/>
          <w:szCs w:val="30"/>
          <w:lang w:val="en-US" w:eastAsia="zh-CN"/>
        </w:rPr>
        <w:t>施工现场应建立消防安全管理制度、制定消防措施；施工现场临时用房和作业场所的防火设计应符合规范要求；施工现场应设置消防通道、消防水源，并应符合规范要求；施工现场灭火器材应保证可靠有效，布局配置应符合规范要求；明火作业应履行动火审批手续，配备动火监护人员。</w:t>
      </w:r>
    </w:p>
    <w:p>
      <w:pPr>
        <w:adjustRightInd w:val="0"/>
        <w:snapToGrid w:val="0"/>
        <w:spacing w:line="540" w:lineRule="exact"/>
        <w:ind w:firstLine="588"/>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二、食堂安全检查重点</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eastAsia" w:ascii="仿宋_GB2312" w:hAnsi="宋体" w:eastAsia="仿宋_GB2312" w:cs="Times New Roman"/>
          <w:sz w:val="30"/>
          <w:szCs w:val="30"/>
          <w:lang w:val="en-US" w:eastAsia="zh-CN"/>
        </w:rPr>
      </w:pPr>
      <w:r>
        <w:rPr>
          <w:rFonts w:hint="eastAsia" w:ascii="仿宋_GB2312" w:hAnsi="宋体" w:eastAsia="仿宋_GB2312" w:cs="Times New Roman"/>
          <w:b/>
          <w:bCs/>
          <w:sz w:val="30"/>
          <w:szCs w:val="30"/>
          <w:lang w:val="en-US" w:eastAsia="zh-CN"/>
        </w:rPr>
        <w:t>1.持证经营。</w:t>
      </w:r>
      <w:r>
        <w:rPr>
          <w:rFonts w:hint="eastAsia" w:ascii="仿宋_GB2312" w:hAnsi="宋体" w:eastAsia="仿宋_GB2312" w:cs="Times New Roman"/>
          <w:sz w:val="30"/>
          <w:szCs w:val="30"/>
          <w:lang w:val="en-US" w:eastAsia="zh-CN"/>
        </w:rPr>
        <w:t>依法办理《食品经营许可证》，在许可范围和有效期内依法经营，在经营场所的显著位置悬挂或者摆放食品经营许可证正本。</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eastAsia" w:ascii="仿宋_GB2312" w:hAnsi="宋体" w:eastAsia="仿宋_GB2312" w:cs="Times New Roman"/>
          <w:sz w:val="30"/>
          <w:szCs w:val="30"/>
          <w:lang w:val="en-US" w:eastAsia="zh-CN"/>
        </w:rPr>
      </w:pPr>
      <w:r>
        <w:rPr>
          <w:rFonts w:hint="eastAsia" w:ascii="仿宋_GB2312" w:hAnsi="宋体" w:eastAsia="仿宋_GB2312" w:cs="Times New Roman"/>
          <w:b/>
          <w:bCs/>
          <w:sz w:val="30"/>
          <w:szCs w:val="30"/>
          <w:lang w:val="en-US" w:eastAsia="zh-CN"/>
        </w:rPr>
        <w:t>2.原料采购管理。</w:t>
      </w:r>
      <w:r>
        <w:rPr>
          <w:rFonts w:hint="eastAsia" w:ascii="仿宋_GB2312" w:hAnsi="宋体" w:eastAsia="仿宋_GB2312" w:cs="Times New Roman"/>
          <w:sz w:val="30"/>
          <w:szCs w:val="30"/>
          <w:lang w:val="en-US" w:eastAsia="zh-CN"/>
        </w:rPr>
        <w:t>原料采购选择的供货者应具有相关合法资质，建立原料采购索票、索证、验收、保管、发放制度。严格按照《食品安全国家标准食品添加剂使用标准》GB2760和国家市场监管总局《餐饮服务食品安全操作规范》使用和管理食品添加剂。不采购和使用明令禁止的食品、食品添加剂、食品相关产品。</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eastAsia" w:ascii="仿宋_GB2312" w:hAnsi="宋体" w:eastAsia="仿宋_GB2312" w:cs="Times New Roman"/>
          <w:sz w:val="30"/>
          <w:szCs w:val="30"/>
          <w:lang w:val="en-US" w:eastAsia="zh-CN"/>
        </w:rPr>
      </w:pPr>
      <w:r>
        <w:rPr>
          <w:rFonts w:hint="eastAsia" w:ascii="仿宋_GB2312" w:hAnsi="宋体" w:eastAsia="仿宋_GB2312" w:cs="Times New Roman"/>
          <w:b/>
          <w:bCs/>
          <w:sz w:val="30"/>
          <w:szCs w:val="30"/>
          <w:lang w:val="en-US" w:eastAsia="zh-CN"/>
        </w:rPr>
        <w:t>3.工艺流程布局。</w:t>
      </w:r>
      <w:r>
        <w:rPr>
          <w:rFonts w:hint="eastAsia" w:ascii="仿宋_GB2312" w:hAnsi="宋体" w:eastAsia="仿宋_GB2312" w:cs="Times New Roman"/>
          <w:sz w:val="30"/>
          <w:szCs w:val="30"/>
          <w:lang w:val="en-US" w:eastAsia="zh-CN"/>
        </w:rPr>
        <w:t>食堂厨房区域应严格按原料进入、原料处理、主副食加工、备餐、成品供应、餐具洗涤、消毒与存放的工艺流程布局，食品加工应为生进熟出单一流向，并符合下列规定：副食粗加工应分设蔬菜、肉禽、水产工作台和清洗池，粗加工后的原料送入细加工区，不应反流；冷荤成品、生食海鲜、裱花蛋糕等应在厨房专间内拼配，在厨房专间入口处应设置有洗手、消毒、更衣设施的通过式预进间；垂直运输的食梯应原料、成品分设。</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eastAsia" w:ascii="仿宋_GB2312" w:hAnsi="宋体" w:eastAsia="仿宋_GB2312" w:cs="Times New Roman"/>
          <w:sz w:val="30"/>
          <w:szCs w:val="30"/>
          <w:lang w:val="en-US" w:eastAsia="zh-CN"/>
        </w:rPr>
      </w:pPr>
      <w:r>
        <w:rPr>
          <w:rFonts w:hint="eastAsia" w:ascii="仿宋_GB2312" w:hAnsi="宋体" w:eastAsia="仿宋_GB2312" w:cs="Times New Roman"/>
          <w:b/>
          <w:bCs/>
          <w:sz w:val="30"/>
          <w:szCs w:val="30"/>
          <w:lang w:val="en-US" w:eastAsia="zh-CN"/>
        </w:rPr>
        <w:t>4.消防设计与基础设施。</w:t>
      </w:r>
      <w:r>
        <w:rPr>
          <w:rFonts w:hint="eastAsia" w:ascii="仿宋_GB2312" w:hAnsi="宋体" w:eastAsia="仿宋_GB2312" w:cs="Times New Roman"/>
          <w:sz w:val="30"/>
          <w:szCs w:val="30"/>
          <w:lang w:val="en-US" w:eastAsia="zh-CN"/>
        </w:rPr>
        <w:t>食堂消防设计应符合现行国家标准《建筑设计防火规范》GB50016的规定；有明火的加工区应采用耐火极限不低于2.00h的防火墙与其他部位分隔，隔墙上的门、窗应采用乙级防火门、窗。食堂生产加工区域应安装并受火灾自动报警系统联动控制；应按规定为燃气具安装熄火保护装置；各类加工间的工作台边或设备边之间的净距离应符合防火疏散宽度的要求；应制定食堂消防安全应急预案、定期组织开展消防安全知识培训、消防安全演练，做好每日消防巡查与闭餐检查。</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eastAsia" w:ascii="仿宋_GB2312" w:hAnsi="宋体" w:eastAsia="仿宋_GB2312" w:cs="Times New Roman"/>
          <w:sz w:val="30"/>
          <w:szCs w:val="30"/>
          <w:lang w:val="en-US" w:eastAsia="zh-CN"/>
        </w:rPr>
      </w:pPr>
      <w:r>
        <w:rPr>
          <w:rFonts w:hint="eastAsia" w:ascii="仿宋_GB2312" w:hAnsi="宋体" w:eastAsia="仿宋_GB2312" w:cs="Times New Roman"/>
          <w:b/>
          <w:bCs/>
          <w:sz w:val="30"/>
          <w:szCs w:val="30"/>
          <w:lang w:val="en-US" w:eastAsia="zh-CN"/>
        </w:rPr>
        <w:t>5.有害生物防治。</w:t>
      </w:r>
      <w:r>
        <w:rPr>
          <w:rFonts w:hint="eastAsia" w:ascii="仿宋_GB2312" w:hAnsi="宋体" w:eastAsia="仿宋_GB2312" w:cs="Times New Roman"/>
          <w:sz w:val="30"/>
          <w:szCs w:val="30"/>
          <w:lang w:val="en-US" w:eastAsia="zh-CN"/>
        </w:rPr>
        <w:t>应设置纱窗、灭蚊灯、防虫筛网、篦子、挡鼠板、鼠类诱捕等物理防治措施，避免有害动物的侵入和栖息。</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eastAsia" w:ascii="仿宋_GB2312" w:hAnsi="宋体" w:eastAsia="仿宋_GB2312" w:cs="Times New Roman"/>
          <w:sz w:val="30"/>
          <w:szCs w:val="30"/>
          <w:lang w:val="en-US" w:eastAsia="zh-CN"/>
        </w:rPr>
      </w:pPr>
      <w:r>
        <w:rPr>
          <w:rFonts w:hint="eastAsia" w:ascii="仿宋_GB2312" w:hAnsi="宋体" w:eastAsia="仿宋_GB2312" w:cs="Times New Roman"/>
          <w:b/>
          <w:bCs/>
          <w:sz w:val="30"/>
          <w:szCs w:val="30"/>
          <w:lang w:val="en-US" w:eastAsia="zh-CN"/>
        </w:rPr>
        <w:t>6.食品安全管理。</w:t>
      </w:r>
      <w:r>
        <w:rPr>
          <w:rFonts w:hint="eastAsia" w:ascii="仿宋_GB2312" w:hAnsi="宋体" w:eastAsia="仿宋_GB2312" w:cs="Times New Roman"/>
          <w:sz w:val="30"/>
          <w:szCs w:val="30"/>
          <w:lang w:val="en-US" w:eastAsia="zh-CN"/>
        </w:rPr>
        <w:t>应当建立并完善食品安全管理制度，配备经食品安全培训和考核合格，具备食品安全管理能力的专职或兼职食品安全管理人员；应自行或者委托第三方专业机构开展自查；应按规定做好食品留样工作；中央厨房、集体用餐配送单位应按规定做好相关检验工作，鼓励其他餐饮服务提供者进行检验。检验项目、指标和频次应综合考虑食品品种、工艺特点、原料控制情况等因素合理确定。</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eastAsia" w:ascii="仿宋_GB2312" w:hAnsi="宋体" w:eastAsia="仿宋_GB2312" w:cs="Times New Roman"/>
          <w:sz w:val="30"/>
          <w:szCs w:val="30"/>
          <w:lang w:val="en-US" w:eastAsia="zh-CN"/>
        </w:rPr>
      </w:pPr>
      <w:r>
        <w:rPr>
          <w:rFonts w:hint="eastAsia" w:ascii="仿宋_GB2312" w:hAnsi="宋体" w:eastAsia="仿宋_GB2312" w:cs="Times New Roman"/>
          <w:b/>
          <w:bCs/>
          <w:sz w:val="30"/>
          <w:szCs w:val="30"/>
          <w:lang w:val="en-US" w:eastAsia="zh-CN"/>
        </w:rPr>
        <w:t>7.工作保障。</w:t>
      </w:r>
      <w:r>
        <w:rPr>
          <w:rFonts w:hint="eastAsia" w:ascii="仿宋_GB2312" w:hAnsi="宋体" w:eastAsia="仿宋_GB2312" w:cs="Times New Roman"/>
          <w:sz w:val="30"/>
          <w:szCs w:val="30"/>
          <w:lang w:val="en-US" w:eastAsia="zh-CN"/>
        </w:rPr>
        <w:t>应加强组织领导，成立由校长（园长）任组长的食品安全工作领导小组，压实学校食品安全校长（园长）负责制；按照教育部等五部委《关于进一步加强高等学校学生食堂工作的意见》有关规定，落实好对学生食堂公益性投入和优惠政策，通过设立学生食堂饭菜价格平抑基金，建立与物价上涨挂钩的价格联动机制。应建立食品安全培训制度，根据不同岗位的实际需求，对从业人员进行相应的食品安全知识培训，并做好培训记录。</w:t>
      </w:r>
    </w:p>
    <w:p>
      <w:pPr>
        <w:pStyle w:val="2"/>
        <w:rPr>
          <w:rFonts w:hint="eastAsia" w:ascii="仿宋_GB2312" w:hAnsi="宋体" w:eastAsia="仿宋_GB2312" w:cs="Times New Roman"/>
          <w:sz w:val="30"/>
          <w:szCs w:val="30"/>
          <w:lang w:val="en-US" w:eastAsia="zh-CN"/>
        </w:rPr>
      </w:pPr>
    </w:p>
    <w:p>
      <w:pPr>
        <w:pStyle w:val="2"/>
        <w:ind w:left="0" w:leftChars="0" w:firstLine="0" w:firstLineChars="0"/>
        <w:jc w:val="both"/>
        <w:rPr>
          <w:rFonts w:hint="eastAsia" w:ascii="方正小标宋简体" w:hAnsi="Times New Roman" w:eastAsia="方正小标宋简体" w:cs="Times New Roman"/>
          <w:kern w:val="2"/>
          <w:sz w:val="38"/>
          <w:szCs w:val="38"/>
          <w:lang w:val="en-US" w:eastAsia="zh-CN" w:bidi="ar-SA"/>
        </w:rPr>
      </w:pPr>
    </w:p>
    <w:p>
      <w:pPr>
        <w:pStyle w:val="2"/>
        <w:ind w:left="0" w:leftChars="0" w:firstLine="0" w:firstLineChars="0"/>
        <w:jc w:val="both"/>
        <w:rPr>
          <w:rFonts w:hint="eastAsia" w:ascii="方正小标宋简体" w:hAnsi="Times New Roman" w:eastAsia="方正小标宋简体" w:cs="Times New Roman"/>
          <w:kern w:val="2"/>
          <w:sz w:val="38"/>
          <w:szCs w:val="38"/>
          <w:lang w:val="en-US" w:eastAsia="zh-CN" w:bidi="ar-SA"/>
        </w:rPr>
      </w:pPr>
    </w:p>
    <w:p>
      <w:pPr>
        <w:pStyle w:val="2"/>
        <w:ind w:left="0" w:leftChars="0" w:firstLine="0" w:firstLineChars="0"/>
        <w:jc w:val="both"/>
        <w:rPr>
          <w:rFonts w:hint="eastAsia" w:ascii="方正小标宋简体" w:hAnsi="Times New Roman" w:eastAsia="方正小标宋简体" w:cs="Times New Roman"/>
          <w:kern w:val="2"/>
          <w:sz w:val="38"/>
          <w:szCs w:val="38"/>
          <w:lang w:val="en-US" w:eastAsia="zh-CN" w:bidi="ar-SA"/>
        </w:rPr>
      </w:pPr>
    </w:p>
    <w:p>
      <w:pPr>
        <w:pStyle w:val="2"/>
        <w:ind w:left="0" w:leftChars="0" w:firstLine="0" w:firstLineChars="0"/>
        <w:jc w:val="both"/>
        <w:rPr>
          <w:rFonts w:hint="eastAsia" w:ascii="方正小标宋简体" w:hAnsi="Times New Roman" w:eastAsia="方正小标宋简体" w:cs="Times New Roman"/>
          <w:kern w:val="2"/>
          <w:sz w:val="38"/>
          <w:szCs w:val="38"/>
          <w:lang w:val="en-US" w:eastAsia="zh-CN" w:bidi="ar-SA"/>
        </w:rPr>
      </w:pPr>
    </w:p>
    <w:p>
      <w:pPr>
        <w:pStyle w:val="2"/>
        <w:ind w:left="0" w:leftChars="0" w:firstLine="0" w:firstLineChars="0"/>
        <w:jc w:val="both"/>
        <w:rPr>
          <w:rFonts w:hint="eastAsia" w:ascii="方正小标宋简体" w:hAnsi="Times New Roman" w:eastAsia="方正小标宋简体" w:cs="Times New Roman"/>
          <w:kern w:val="2"/>
          <w:sz w:val="38"/>
          <w:szCs w:val="38"/>
          <w:lang w:val="en-US" w:eastAsia="zh-CN" w:bidi="ar-SA"/>
        </w:rPr>
      </w:pPr>
    </w:p>
    <w:p>
      <w:pPr>
        <w:pStyle w:val="2"/>
        <w:ind w:left="0" w:leftChars="0" w:firstLine="0" w:firstLineChars="0"/>
        <w:jc w:val="both"/>
        <w:rPr>
          <w:rFonts w:hint="eastAsia" w:ascii="方正小标宋简体" w:hAnsi="Times New Roman" w:eastAsia="方正小标宋简体" w:cs="Times New Roman"/>
          <w:kern w:val="2"/>
          <w:sz w:val="38"/>
          <w:szCs w:val="38"/>
          <w:lang w:val="en-US" w:eastAsia="zh-CN" w:bidi="ar-SA"/>
        </w:rPr>
      </w:pPr>
    </w:p>
    <w:p>
      <w:pPr>
        <w:pStyle w:val="2"/>
        <w:ind w:left="0" w:leftChars="0" w:firstLine="0" w:firstLineChars="0"/>
        <w:jc w:val="both"/>
        <w:rPr>
          <w:rFonts w:hint="eastAsia" w:ascii="方正小标宋简体" w:hAnsi="Times New Roman" w:eastAsia="方正小标宋简体" w:cs="Times New Roman"/>
          <w:kern w:val="2"/>
          <w:sz w:val="38"/>
          <w:szCs w:val="38"/>
          <w:lang w:val="en-US" w:eastAsia="zh-CN" w:bidi="ar-SA"/>
        </w:rPr>
      </w:pPr>
    </w:p>
    <w:p>
      <w:pPr>
        <w:pStyle w:val="2"/>
        <w:ind w:left="0" w:leftChars="0" w:firstLine="0" w:firstLineChars="0"/>
        <w:jc w:val="both"/>
        <w:rPr>
          <w:rFonts w:hint="eastAsia" w:ascii="方正小标宋简体" w:hAnsi="Times New Roman" w:eastAsia="方正小标宋简体" w:cs="Times New Roman"/>
          <w:kern w:val="2"/>
          <w:sz w:val="38"/>
          <w:szCs w:val="38"/>
          <w:lang w:val="en-US" w:eastAsia="zh-CN" w:bidi="ar-SA"/>
        </w:rPr>
      </w:pPr>
    </w:p>
    <w:p>
      <w:pPr>
        <w:pStyle w:val="2"/>
        <w:ind w:left="0" w:leftChars="0" w:firstLine="0" w:firstLineChars="0"/>
        <w:jc w:val="both"/>
        <w:rPr>
          <w:rFonts w:hint="eastAsia" w:ascii="方正小标宋简体" w:hAnsi="Times New Roman" w:eastAsia="方正小标宋简体" w:cs="Times New Roman"/>
          <w:kern w:val="2"/>
          <w:sz w:val="38"/>
          <w:szCs w:val="38"/>
          <w:lang w:val="en-US" w:eastAsia="zh-CN" w:bidi="ar-SA"/>
        </w:rPr>
      </w:pPr>
    </w:p>
    <w:p>
      <w:pPr>
        <w:pStyle w:val="2"/>
        <w:ind w:left="0" w:leftChars="0" w:firstLine="0" w:firstLineChars="0"/>
        <w:jc w:val="both"/>
        <w:rPr>
          <w:rFonts w:hint="eastAsia" w:ascii="方正小标宋简体" w:hAnsi="Times New Roman" w:eastAsia="方正小标宋简体" w:cs="Times New Roman"/>
          <w:kern w:val="2"/>
          <w:sz w:val="38"/>
          <w:szCs w:val="38"/>
          <w:lang w:val="en-US" w:eastAsia="zh-CN" w:bidi="ar-SA"/>
        </w:rPr>
      </w:pPr>
    </w:p>
    <w:p>
      <w:pPr>
        <w:pStyle w:val="2"/>
        <w:ind w:left="0" w:leftChars="0" w:firstLine="0" w:firstLineChars="0"/>
        <w:jc w:val="both"/>
        <w:rPr>
          <w:rFonts w:hint="eastAsia" w:ascii="方正小标宋简体" w:hAnsi="Times New Roman" w:eastAsia="方正小标宋简体" w:cs="Times New Roman"/>
          <w:kern w:val="2"/>
          <w:sz w:val="38"/>
          <w:szCs w:val="38"/>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Segoe Print">
    <w:panose1 w:val="020008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wZTk2YjI0ZGFjYmVlMDViNzdjMzhiNzBmNjlkY2EifQ=="/>
  </w:docVars>
  <w:rsids>
    <w:rsidRoot w:val="59C51071"/>
    <w:rsid w:val="59C5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方正书宋_GBK" w:hAnsi="DejaVu S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2023-08-11T08:13:00Z</dcterms:created>
  <dc:creator>柚子</dc:creator>
  <cp:lastModifiedBy>柚子</cp:lastModifiedBy>
  <dcterms:modified xsi:type="dcterms:W3CDTF">2023-08-11T08:15:26Z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2FAA85D8F000440F9AF64C6FB9906070_11</vt:lpwstr>
  </property>
</Properties>
</file>