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90"/>
        </w:tabs>
        <w:overflowPunct w:val="0"/>
        <w:adjustRightInd w:val="0"/>
        <w:snapToGrid w:val="0"/>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2023年自查自纠情况表</w:t>
      </w:r>
    </w:p>
    <w:p>
      <w:pPr>
        <w:tabs>
          <w:tab w:val="left" w:pos="790"/>
        </w:tabs>
        <w:overflowPunct w:val="0"/>
        <w:adjustRightInd w:val="0"/>
        <w:snapToGrid w:val="0"/>
        <w:rPr>
          <w:rFonts w:hint="eastAsia"/>
          <w:sz w:val="24"/>
          <w:szCs w:val="24"/>
        </w:rPr>
      </w:pPr>
    </w:p>
    <w:p>
      <w:pPr>
        <w:tabs>
          <w:tab w:val="left" w:pos="790"/>
        </w:tabs>
        <w:overflowPunct w:val="0"/>
        <w:adjustRightInd w:val="0"/>
        <w:snapToGrid w:val="0"/>
        <w:spacing w:after="60"/>
        <w:rPr>
          <w:rFonts w:hint="eastAsia"/>
          <w:sz w:val="24"/>
          <w:szCs w:val="24"/>
        </w:rPr>
      </w:pPr>
      <w:r>
        <w:rPr>
          <w:rFonts w:hint="eastAsia"/>
          <w:sz w:val="24"/>
          <w:szCs w:val="24"/>
        </w:rPr>
        <w:t>填报单位（公章）：</w:t>
      </w:r>
      <w:r>
        <w:rPr>
          <w:rFonts w:hint="eastAsia"/>
          <w:sz w:val="24"/>
          <w:szCs w:val="24"/>
          <w:u w:val="single"/>
        </w:rPr>
        <w:t>　　　　　　　　　　　　</w:t>
      </w:r>
      <w:r>
        <w:rPr>
          <w:rFonts w:hint="eastAsia"/>
          <w:sz w:val="24"/>
          <w:szCs w:val="24"/>
        </w:rPr>
        <w:t>　　　　单位性质：公办（　）民办（　）　　　　　单位：户、件、万元</w:t>
      </w:r>
    </w:p>
    <w:tbl>
      <w:tblPr>
        <w:tblStyle w:val="2"/>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7" w:type="dxa"/>
          <w:left w:w="108" w:type="dxa"/>
          <w:bottom w:w="17" w:type="dxa"/>
          <w:right w:w="108" w:type="dxa"/>
        </w:tblCellMar>
      </w:tblPr>
      <w:tblGrid>
        <w:gridCol w:w="732"/>
        <w:gridCol w:w="1616"/>
        <w:gridCol w:w="6943"/>
        <w:gridCol w:w="2239"/>
        <w:gridCol w:w="20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cantSplit/>
          <w:trHeight w:val="567" w:hRule="atLeast"/>
          <w:tblHeader/>
          <w:jc w:val="center"/>
        </w:trPr>
        <w:tc>
          <w:tcPr>
            <w:tcW w:w="732" w:type="dxa"/>
            <w:noWrap w:val="0"/>
            <w:vAlign w:val="center"/>
          </w:tcPr>
          <w:p>
            <w:pPr>
              <w:tabs>
                <w:tab w:val="left" w:pos="790"/>
              </w:tabs>
              <w:overflowPunct w:val="0"/>
              <w:adjustRightInd w:val="0"/>
              <w:snapToGrid w:val="0"/>
              <w:spacing w:line="280" w:lineRule="exact"/>
              <w:jc w:val="center"/>
              <w:rPr>
                <w:rFonts w:hint="eastAsia" w:ascii="黑体" w:hAnsi="黑体" w:eastAsia="黑体" w:cs="黑体"/>
                <w:sz w:val="24"/>
                <w:szCs w:val="24"/>
              </w:rPr>
            </w:pPr>
            <w:r>
              <w:rPr>
                <w:rFonts w:hint="eastAsia" w:ascii="黑体" w:hAnsi="黑体" w:eastAsia="黑体" w:cs="黑体"/>
                <w:sz w:val="24"/>
                <w:szCs w:val="24"/>
              </w:rPr>
              <w:t>序号</w:t>
            </w:r>
          </w:p>
        </w:tc>
        <w:tc>
          <w:tcPr>
            <w:tcW w:w="1616" w:type="dxa"/>
            <w:noWrap w:val="0"/>
            <w:vAlign w:val="center"/>
          </w:tcPr>
          <w:p>
            <w:pPr>
              <w:tabs>
                <w:tab w:val="left" w:pos="790"/>
              </w:tabs>
              <w:overflowPunct w:val="0"/>
              <w:adjustRightInd w:val="0"/>
              <w:snapToGrid w:val="0"/>
              <w:spacing w:line="280" w:lineRule="exact"/>
              <w:jc w:val="center"/>
              <w:rPr>
                <w:rFonts w:hint="eastAsia" w:ascii="黑体" w:hAnsi="黑体" w:eastAsia="黑体" w:cs="黑体"/>
                <w:sz w:val="24"/>
                <w:szCs w:val="24"/>
              </w:rPr>
            </w:pPr>
            <w:r>
              <w:rPr>
                <w:rFonts w:hint="eastAsia" w:ascii="黑体" w:hAnsi="黑体" w:eastAsia="黑体" w:cs="黑体"/>
                <w:sz w:val="24"/>
                <w:szCs w:val="24"/>
              </w:rPr>
              <w:t>问题类型</w:t>
            </w:r>
          </w:p>
        </w:tc>
        <w:tc>
          <w:tcPr>
            <w:tcW w:w="6943" w:type="dxa"/>
            <w:noWrap w:val="0"/>
            <w:vAlign w:val="center"/>
          </w:tcPr>
          <w:p>
            <w:pPr>
              <w:tabs>
                <w:tab w:val="left" w:pos="790"/>
              </w:tabs>
              <w:overflowPunct w:val="0"/>
              <w:adjustRightInd w:val="0"/>
              <w:snapToGrid w:val="0"/>
              <w:spacing w:line="280" w:lineRule="exact"/>
              <w:jc w:val="center"/>
              <w:rPr>
                <w:rFonts w:hint="eastAsia" w:ascii="黑体" w:hAnsi="黑体" w:eastAsia="黑体" w:cs="黑体"/>
                <w:sz w:val="24"/>
                <w:szCs w:val="24"/>
              </w:rPr>
            </w:pPr>
            <w:r>
              <w:rPr>
                <w:rFonts w:hint="eastAsia" w:ascii="黑体" w:hAnsi="黑体" w:eastAsia="黑体" w:cs="黑体"/>
                <w:sz w:val="24"/>
                <w:szCs w:val="24"/>
              </w:rPr>
              <w:t>问题内容</w:t>
            </w:r>
          </w:p>
        </w:tc>
        <w:tc>
          <w:tcPr>
            <w:tcW w:w="2239" w:type="dxa"/>
            <w:noWrap w:val="0"/>
            <w:vAlign w:val="center"/>
          </w:tcPr>
          <w:p>
            <w:pPr>
              <w:tabs>
                <w:tab w:val="left" w:pos="790"/>
              </w:tabs>
              <w:overflowPunct w:val="0"/>
              <w:adjustRightInd w:val="0"/>
              <w:snapToGrid w:val="0"/>
              <w:spacing w:line="280" w:lineRule="exact"/>
              <w:jc w:val="center"/>
              <w:rPr>
                <w:rFonts w:hint="eastAsia" w:ascii="黑体" w:hAnsi="黑体" w:eastAsia="黑体" w:cs="黑体"/>
                <w:sz w:val="24"/>
                <w:szCs w:val="24"/>
              </w:rPr>
            </w:pPr>
            <w:r>
              <w:rPr>
                <w:rFonts w:hint="eastAsia" w:ascii="黑体" w:hAnsi="黑体" w:eastAsia="黑体" w:cs="黑体"/>
                <w:sz w:val="24"/>
                <w:szCs w:val="24"/>
              </w:rPr>
              <w:t>问题描述</w:t>
            </w:r>
          </w:p>
        </w:tc>
        <w:tc>
          <w:tcPr>
            <w:tcW w:w="2076" w:type="dxa"/>
            <w:noWrap w:val="0"/>
            <w:vAlign w:val="center"/>
          </w:tcPr>
          <w:p>
            <w:pPr>
              <w:tabs>
                <w:tab w:val="left" w:pos="790"/>
              </w:tabs>
              <w:overflowPunct w:val="0"/>
              <w:adjustRightInd w:val="0"/>
              <w:snapToGrid w:val="0"/>
              <w:spacing w:line="280" w:lineRule="exact"/>
              <w:jc w:val="center"/>
              <w:rPr>
                <w:rFonts w:hint="eastAsia" w:ascii="黑体" w:hAnsi="黑体" w:eastAsia="黑体" w:cs="黑体"/>
                <w:sz w:val="24"/>
                <w:szCs w:val="24"/>
              </w:rPr>
            </w:pPr>
            <w:r>
              <w:rPr>
                <w:rFonts w:hint="eastAsia" w:ascii="黑体" w:hAnsi="黑体" w:eastAsia="黑体" w:cs="黑体"/>
                <w:sz w:val="24"/>
                <w:szCs w:val="24"/>
              </w:rPr>
              <w:t>整改情况</w:t>
            </w:r>
          </w:p>
          <w:p>
            <w:pPr>
              <w:tabs>
                <w:tab w:val="left" w:pos="790"/>
              </w:tabs>
              <w:overflowPunct w:val="0"/>
              <w:adjustRightInd w:val="0"/>
              <w:snapToGrid w:val="0"/>
              <w:spacing w:line="280" w:lineRule="exact"/>
              <w:jc w:val="center"/>
              <w:rPr>
                <w:rFonts w:hint="eastAsia" w:ascii="黑体" w:hAnsi="黑体" w:eastAsia="黑体" w:cs="黑体"/>
                <w:sz w:val="24"/>
                <w:szCs w:val="24"/>
              </w:rPr>
            </w:pPr>
            <w:r>
              <w:rPr>
                <w:rFonts w:hint="eastAsia" w:ascii="黑体" w:hAnsi="黑体" w:eastAsia="黑体" w:cs="黑体"/>
                <w:sz w:val="24"/>
                <w:szCs w:val="24"/>
              </w:rPr>
              <w:t>（退还金额情况）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cantSplit/>
          <w:trHeight w:val="567" w:hRule="atLeast"/>
          <w:jc w:val="center"/>
        </w:trPr>
        <w:tc>
          <w:tcPr>
            <w:tcW w:w="732" w:type="dxa"/>
            <w:noWrap w:val="0"/>
            <w:vAlign w:val="center"/>
          </w:tcPr>
          <w:p>
            <w:pPr>
              <w:tabs>
                <w:tab w:val="left" w:pos="790"/>
              </w:tabs>
              <w:overflowPunct w:val="0"/>
              <w:adjustRightInd w:val="0"/>
              <w:snapToGrid w:val="0"/>
              <w:spacing w:line="280" w:lineRule="exact"/>
              <w:jc w:val="center"/>
              <w:rPr>
                <w:rFonts w:hint="eastAsia"/>
                <w:sz w:val="24"/>
                <w:szCs w:val="24"/>
              </w:rPr>
            </w:pPr>
            <w:r>
              <w:rPr>
                <w:rFonts w:hint="eastAsia"/>
                <w:sz w:val="24"/>
                <w:szCs w:val="24"/>
              </w:rPr>
              <w:t>1</w:t>
            </w:r>
          </w:p>
        </w:tc>
        <w:tc>
          <w:tcPr>
            <w:tcW w:w="1616" w:type="dxa"/>
            <w:noWrap w:val="0"/>
            <w:vAlign w:val="center"/>
          </w:tcPr>
          <w:p>
            <w:pPr>
              <w:tabs>
                <w:tab w:val="left" w:pos="790"/>
              </w:tabs>
              <w:overflowPunct w:val="0"/>
              <w:adjustRightInd w:val="0"/>
              <w:snapToGrid w:val="0"/>
              <w:spacing w:line="280" w:lineRule="exact"/>
              <w:jc w:val="left"/>
              <w:rPr>
                <w:rFonts w:hint="eastAsia"/>
                <w:sz w:val="24"/>
                <w:szCs w:val="24"/>
              </w:rPr>
            </w:pPr>
            <w:r>
              <w:rPr>
                <w:rFonts w:hint="eastAsia"/>
                <w:sz w:val="24"/>
                <w:szCs w:val="24"/>
              </w:rPr>
              <w:t>未按规定执行教育收费公示制度</w:t>
            </w:r>
          </w:p>
        </w:tc>
        <w:tc>
          <w:tcPr>
            <w:tcW w:w="6943" w:type="dxa"/>
            <w:noWrap w:val="0"/>
            <w:vAlign w:val="center"/>
          </w:tcPr>
          <w:p>
            <w:pPr>
              <w:tabs>
                <w:tab w:val="left" w:pos="790"/>
              </w:tabs>
              <w:overflowPunct w:val="0"/>
              <w:adjustRightInd w:val="0"/>
              <w:snapToGrid w:val="0"/>
              <w:spacing w:line="280" w:lineRule="exact"/>
              <w:rPr>
                <w:rFonts w:hint="eastAsia"/>
                <w:sz w:val="24"/>
                <w:szCs w:val="24"/>
              </w:rPr>
            </w:pPr>
            <w:r>
              <w:rPr>
                <w:rFonts w:hint="eastAsia"/>
                <w:sz w:val="24"/>
                <w:szCs w:val="24"/>
              </w:rPr>
              <w:t>（1）未在醒目位置，向社会公示收费项目、收费标准等</w:t>
            </w:r>
          </w:p>
          <w:p>
            <w:pPr>
              <w:tabs>
                <w:tab w:val="left" w:pos="790"/>
              </w:tabs>
              <w:overflowPunct w:val="0"/>
              <w:adjustRightInd w:val="0"/>
              <w:snapToGrid w:val="0"/>
              <w:spacing w:line="280" w:lineRule="exact"/>
              <w:rPr>
                <w:rFonts w:hint="eastAsia"/>
                <w:sz w:val="24"/>
                <w:szCs w:val="24"/>
              </w:rPr>
            </w:pPr>
            <w:r>
              <w:rPr>
                <w:rFonts w:hint="eastAsia"/>
                <w:sz w:val="24"/>
                <w:szCs w:val="24"/>
              </w:rPr>
              <w:t>（2）收取未经公示的费用和与公示内容不符的费用</w:t>
            </w:r>
          </w:p>
          <w:p>
            <w:pPr>
              <w:tabs>
                <w:tab w:val="left" w:pos="790"/>
              </w:tabs>
              <w:overflowPunct w:val="0"/>
              <w:adjustRightInd w:val="0"/>
              <w:snapToGrid w:val="0"/>
              <w:spacing w:line="280" w:lineRule="exact"/>
              <w:rPr>
                <w:rFonts w:hint="eastAsia"/>
                <w:sz w:val="24"/>
                <w:szCs w:val="24"/>
              </w:rPr>
            </w:pPr>
            <w:r>
              <w:rPr>
                <w:rFonts w:hint="eastAsia"/>
                <w:sz w:val="24"/>
                <w:szCs w:val="24"/>
              </w:rPr>
              <w:t>（3）其他未按规定进行教育收费公示的问题</w:t>
            </w:r>
          </w:p>
        </w:tc>
        <w:tc>
          <w:tcPr>
            <w:tcW w:w="2239" w:type="dxa"/>
            <w:noWrap w:val="0"/>
            <w:vAlign w:val="center"/>
          </w:tcPr>
          <w:p>
            <w:pPr>
              <w:tabs>
                <w:tab w:val="left" w:pos="790"/>
              </w:tabs>
              <w:overflowPunct w:val="0"/>
              <w:adjustRightInd w:val="0"/>
              <w:snapToGrid w:val="0"/>
              <w:spacing w:line="280" w:lineRule="exact"/>
              <w:rPr>
                <w:rFonts w:hint="eastAsia"/>
                <w:sz w:val="24"/>
                <w:szCs w:val="24"/>
              </w:rPr>
            </w:pPr>
          </w:p>
        </w:tc>
        <w:tc>
          <w:tcPr>
            <w:tcW w:w="2076" w:type="dxa"/>
            <w:noWrap w:val="0"/>
            <w:vAlign w:val="center"/>
          </w:tcPr>
          <w:p>
            <w:pPr>
              <w:tabs>
                <w:tab w:val="left" w:pos="790"/>
              </w:tabs>
              <w:overflowPunct w:val="0"/>
              <w:adjustRightInd w:val="0"/>
              <w:snapToGrid w:val="0"/>
              <w:spacing w:line="28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cantSplit/>
          <w:trHeight w:val="567" w:hRule="atLeast"/>
          <w:jc w:val="center"/>
        </w:trPr>
        <w:tc>
          <w:tcPr>
            <w:tcW w:w="732" w:type="dxa"/>
            <w:noWrap w:val="0"/>
            <w:vAlign w:val="center"/>
          </w:tcPr>
          <w:p>
            <w:pPr>
              <w:tabs>
                <w:tab w:val="left" w:pos="790"/>
              </w:tabs>
              <w:overflowPunct w:val="0"/>
              <w:adjustRightInd w:val="0"/>
              <w:snapToGrid w:val="0"/>
              <w:spacing w:line="280" w:lineRule="exact"/>
              <w:jc w:val="center"/>
              <w:rPr>
                <w:rFonts w:hint="eastAsia"/>
                <w:sz w:val="24"/>
                <w:szCs w:val="24"/>
              </w:rPr>
            </w:pPr>
            <w:r>
              <w:rPr>
                <w:rFonts w:hint="eastAsia"/>
                <w:sz w:val="24"/>
                <w:szCs w:val="24"/>
              </w:rPr>
              <w:t>2</w:t>
            </w:r>
          </w:p>
        </w:tc>
        <w:tc>
          <w:tcPr>
            <w:tcW w:w="1616" w:type="dxa"/>
            <w:noWrap w:val="0"/>
            <w:vAlign w:val="center"/>
          </w:tcPr>
          <w:p>
            <w:pPr>
              <w:tabs>
                <w:tab w:val="left" w:pos="790"/>
              </w:tabs>
              <w:overflowPunct w:val="0"/>
              <w:adjustRightInd w:val="0"/>
              <w:snapToGrid w:val="0"/>
              <w:spacing w:line="280" w:lineRule="exact"/>
              <w:jc w:val="left"/>
              <w:rPr>
                <w:rFonts w:hint="eastAsia"/>
                <w:sz w:val="24"/>
                <w:szCs w:val="24"/>
              </w:rPr>
            </w:pPr>
            <w:r>
              <w:rPr>
                <w:rFonts w:hint="eastAsia"/>
                <w:sz w:val="24"/>
                <w:szCs w:val="24"/>
              </w:rPr>
              <w:t>不执行政府定价、政府指导价</w:t>
            </w:r>
          </w:p>
        </w:tc>
        <w:tc>
          <w:tcPr>
            <w:tcW w:w="6943" w:type="dxa"/>
            <w:noWrap w:val="0"/>
            <w:vAlign w:val="center"/>
          </w:tcPr>
          <w:p>
            <w:pPr>
              <w:tabs>
                <w:tab w:val="left" w:pos="790"/>
              </w:tabs>
              <w:overflowPunct w:val="0"/>
              <w:adjustRightInd w:val="0"/>
              <w:snapToGrid w:val="0"/>
              <w:spacing w:line="280" w:lineRule="exact"/>
              <w:rPr>
                <w:rFonts w:hint="eastAsia"/>
                <w:sz w:val="24"/>
                <w:szCs w:val="24"/>
              </w:rPr>
            </w:pPr>
            <w:r>
              <w:rPr>
                <w:rFonts w:hint="eastAsia"/>
                <w:sz w:val="24"/>
                <w:szCs w:val="24"/>
              </w:rPr>
              <w:t>（1）擅自提高学费、住宿费收费标准</w:t>
            </w:r>
          </w:p>
          <w:p>
            <w:pPr>
              <w:tabs>
                <w:tab w:val="left" w:pos="790"/>
              </w:tabs>
              <w:overflowPunct w:val="0"/>
              <w:adjustRightInd w:val="0"/>
              <w:snapToGrid w:val="0"/>
              <w:spacing w:line="280" w:lineRule="exact"/>
              <w:rPr>
                <w:rFonts w:hint="eastAsia"/>
                <w:sz w:val="24"/>
                <w:szCs w:val="24"/>
              </w:rPr>
            </w:pPr>
            <w:r>
              <w:rPr>
                <w:rFonts w:hint="eastAsia"/>
                <w:sz w:val="24"/>
                <w:szCs w:val="24"/>
              </w:rPr>
              <w:t>（2）擅自增加收费项目、扩大收费范围、捆绑收费</w:t>
            </w:r>
          </w:p>
          <w:p>
            <w:pPr>
              <w:tabs>
                <w:tab w:val="left" w:pos="790"/>
              </w:tabs>
              <w:overflowPunct w:val="0"/>
              <w:adjustRightInd w:val="0"/>
              <w:snapToGrid w:val="0"/>
              <w:spacing w:line="280" w:lineRule="exact"/>
              <w:rPr>
                <w:rFonts w:hint="eastAsia"/>
                <w:sz w:val="24"/>
                <w:szCs w:val="24"/>
              </w:rPr>
            </w:pPr>
            <w:r>
              <w:rPr>
                <w:rFonts w:hint="eastAsia"/>
                <w:sz w:val="24"/>
                <w:szCs w:val="24"/>
              </w:rPr>
              <w:t>（3）学校跨学年（学期）预收学费、住宿费；学费、住宿费收费标准未实行“老生老办法、新生新办法”</w:t>
            </w:r>
          </w:p>
          <w:p>
            <w:pPr>
              <w:tabs>
                <w:tab w:val="left" w:pos="790"/>
              </w:tabs>
              <w:overflowPunct w:val="0"/>
              <w:adjustRightInd w:val="0"/>
              <w:snapToGrid w:val="0"/>
              <w:spacing w:line="280" w:lineRule="exact"/>
              <w:rPr>
                <w:rFonts w:hint="eastAsia"/>
                <w:sz w:val="24"/>
                <w:szCs w:val="24"/>
              </w:rPr>
            </w:pPr>
            <w:r>
              <w:rPr>
                <w:rFonts w:hint="eastAsia"/>
                <w:sz w:val="24"/>
                <w:szCs w:val="24"/>
              </w:rPr>
              <w:t>（4）幼儿园以实验班、兴趣班、特色班等名义额外收取费用</w:t>
            </w:r>
          </w:p>
          <w:p>
            <w:pPr>
              <w:tabs>
                <w:tab w:val="left" w:pos="790"/>
              </w:tabs>
              <w:overflowPunct w:val="0"/>
              <w:adjustRightInd w:val="0"/>
              <w:snapToGrid w:val="0"/>
              <w:spacing w:line="280" w:lineRule="exact"/>
              <w:rPr>
                <w:rFonts w:hint="eastAsia"/>
                <w:sz w:val="24"/>
                <w:szCs w:val="24"/>
              </w:rPr>
            </w:pPr>
            <w:r>
              <w:rPr>
                <w:rFonts w:hint="eastAsia"/>
                <w:sz w:val="24"/>
                <w:szCs w:val="24"/>
              </w:rPr>
              <w:t>（5）其他不执行政府定价、政府指导价的问题</w:t>
            </w:r>
          </w:p>
        </w:tc>
        <w:tc>
          <w:tcPr>
            <w:tcW w:w="2239" w:type="dxa"/>
            <w:noWrap w:val="0"/>
            <w:vAlign w:val="center"/>
          </w:tcPr>
          <w:p>
            <w:pPr>
              <w:tabs>
                <w:tab w:val="left" w:pos="790"/>
              </w:tabs>
              <w:overflowPunct w:val="0"/>
              <w:adjustRightInd w:val="0"/>
              <w:snapToGrid w:val="0"/>
              <w:spacing w:line="280" w:lineRule="exact"/>
              <w:rPr>
                <w:rFonts w:hint="eastAsia"/>
                <w:sz w:val="24"/>
                <w:szCs w:val="24"/>
              </w:rPr>
            </w:pPr>
          </w:p>
        </w:tc>
        <w:tc>
          <w:tcPr>
            <w:tcW w:w="2076" w:type="dxa"/>
            <w:noWrap w:val="0"/>
            <w:vAlign w:val="center"/>
          </w:tcPr>
          <w:p>
            <w:pPr>
              <w:tabs>
                <w:tab w:val="left" w:pos="790"/>
              </w:tabs>
              <w:overflowPunct w:val="0"/>
              <w:adjustRightInd w:val="0"/>
              <w:snapToGrid w:val="0"/>
              <w:spacing w:line="28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cantSplit/>
          <w:trHeight w:val="567" w:hRule="atLeast"/>
          <w:jc w:val="center"/>
        </w:trPr>
        <w:tc>
          <w:tcPr>
            <w:tcW w:w="732" w:type="dxa"/>
            <w:noWrap w:val="0"/>
            <w:vAlign w:val="center"/>
          </w:tcPr>
          <w:p>
            <w:pPr>
              <w:tabs>
                <w:tab w:val="left" w:pos="790"/>
              </w:tabs>
              <w:overflowPunct w:val="0"/>
              <w:adjustRightInd w:val="0"/>
              <w:snapToGrid w:val="0"/>
              <w:spacing w:line="280" w:lineRule="exact"/>
              <w:jc w:val="center"/>
              <w:rPr>
                <w:rFonts w:hint="eastAsia"/>
                <w:sz w:val="24"/>
                <w:szCs w:val="24"/>
              </w:rPr>
            </w:pPr>
            <w:r>
              <w:rPr>
                <w:rFonts w:hint="eastAsia"/>
                <w:sz w:val="24"/>
                <w:szCs w:val="24"/>
              </w:rPr>
              <w:t>3</w:t>
            </w:r>
          </w:p>
        </w:tc>
        <w:tc>
          <w:tcPr>
            <w:tcW w:w="1616" w:type="dxa"/>
            <w:noWrap w:val="0"/>
            <w:vAlign w:val="center"/>
          </w:tcPr>
          <w:p>
            <w:pPr>
              <w:tabs>
                <w:tab w:val="left" w:pos="790"/>
              </w:tabs>
              <w:overflowPunct w:val="0"/>
              <w:adjustRightInd w:val="0"/>
              <w:snapToGrid w:val="0"/>
              <w:spacing w:line="280" w:lineRule="exact"/>
              <w:jc w:val="left"/>
              <w:rPr>
                <w:rFonts w:hint="eastAsia"/>
                <w:sz w:val="24"/>
                <w:szCs w:val="24"/>
              </w:rPr>
            </w:pPr>
            <w:r>
              <w:rPr>
                <w:rFonts w:hint="eastAsia"/>
                <w:sz w:val="24"/>
                <w:szCs w:val="24"/>
              </w:rPr>
              <w:t>强制或变相强制收取服务性收费、代收费</w:t>
            </w:r>
          </w:p>
        </w:tc>
        <w:tc>
          <w:tcPr>
            <w:tcW w:w="6943" w:type="dxa"/>
            <w:noWrap w:val="0"/>
            <w:vAlign w:val="center"/>
          </w:tcPr>
          <w:p>
            <w:pPr>
              <w:tabs>
                <w:tab w:val="left" w:pos="790"/>
              </w:tabs>
              <w:overflowPunct w:val="0"/>
              <w:adjustRightInd w:val="0"/>
              <w:snapToGrid w:val="0"/>
              <w:spacing w:line="280" w:lineRule="exact"/>
              <w:rPr>
                <w:rFonts w:hint="eastAsia"/>
                <w:sz w:val="24"/>
                <w:szCs w:val="24"/>
              </w:rPr>
            </w:pPr>
            <w:r>
              <w:rPr>
                <w:rFonts w:hint="eastAsia"/>
                <w:sz w:val="24"/>
                <w:szCs w:val="24"/>
              </w:rPr>
              <w:t>（1）违反自愿和非营利原则，强制或变相强制服务并收费，只收费不服务</w:t>
            </w:r>
          </w:p>
          <w:p>
            <w:pPr>
              <w:tabs>
                <w:tab w:val="left" w:pos="790"/>
              </w:tabs>
              <w:overflowPunct w:val="0"/>
              <w:adjustRightInd w:val="0"/>
              <w:snapToGrid w:val="0"/>
              <w:spacing w:line="280" w:lineRule="exact"/>
              <w:rPr>
                <w:rFonts w:hint="eastAsia"/>
                <w:spacing w:val="-4"/>
                <w:sz w:val="24"/>
                <w:szCs w:val="24"/>
              </w:rPr>
            </w:pPr>
            <w:r>
              <w:rPr>
                <w:rFonts w:hint="eastAsia"/>
                <w:sz w:val="24"/>
                <w:szCs w:val="24"/>
              </w:rPr>
              <w:t>（2）</w:t>
            </w:r>
            <w:r>
              <w:rPr>
                <w:rFonts w:hint="eastAsia"/>
                <w:spacing w:val="-4"/>
                <w:sz w:val="24"/>
                <w:szCs w:val="24"/>
              </w:rPr>
              <w:t>将明确规定由财政保障的项目纳入服务性收费和代收费事项</w:t>
            </w:r>
          </w:p>
          <w:p>
            <w:pPr>
              <w:tabs>
                <w:tab w:val="left" w:pos="790"/>
              </w:tabs>
              <w:overflowPunct w:val="0"/>
              <w:adjustRightInd w:val="0"/>
              <w:snapToGrid w:val="0"/>
              <w:spacing w:line="280" w:lineRule="exact"/>
              <w:rPr>
                <w:rFonts w:hint="eastAsia"/>
                <w:sz w:val="24"/>
                <w:szCs w:val="24"/>
              </w:rPr>
            </w:pPr>
            <w:r>
              <w:rPr>
                <w:rFonts w:hint="eastAsia"/>
                <w:sz w:val="24"/>
                <w:szCs w:val="24"/>
              </w:rPr>
              <w:t>（3）自立项目，借助家委会、第三方服务机构和合作方名义等强制或变相强制代收费或收取服务性费用</w:t>
            </w:r>
          </w:p>
          <w:p>
            <w:pPr>
              <w:tabs>
                <w:tab w:val="left" w:pos="790"/>
              </w:tabs>
              <w:overflowPunct w:val="0"/>
              <w:adjustRightInd w:val="0"/>
              <w:snapToGrid w:val="0"/>
              <w:spacing w:line="280" w:lineRule="exact"/>
              <w:rPr>
                <w:rFonts w:hint="eastAsia"/>
                <w:sz w:val="24"/>
                <w:szCs w:val="24"/>
              </w:rPr>
            </w:pPr>
            <w:r>
              <w:rPr>
                <w:rFonts w:hint="eastAsia"/>
                <w:sz w:val="24"/>
                <w:szCs w:val="24"/>
              </w:rPr>
              <w:t>（4）中小学校以信息化教学或分班教学为名，强制或变相强制学生购买平板电脑或教育APP</w:t>
            </w:r>
          </w:p>
          <w:p>
            <w:pPr>
              <w:tabs>
                <w:tab w:val="left" w:pos="790"/>
              </w:tabs>
              <w:overflowPunct w:val="0"/>
              <w:adjustRightInd w:val="0"/>
              <w:snapToGrid w:val="0"/>
              <w:spacing w:line="280" w:lineRule="exact"/>
              <w:rPr>
                <w:rFonts w:hint="eastAsia"/>
                <w:sz w:val="24"/>
                <w:szCs w:val="24"/>
              </w:rPr>
            </w:pPr>
            <w:r>
              <w:rPr>
                <w:rFonts w:hint="eastAsia"/>
                <w:sz w:val="24"/>
                <w:szCs w:val="24"/>
              </w:rPr>
              <w:t>（5）中小学校和在职中小学教师有偿补课</w:t>
            </w:r>
          </w:p>
          <w:p>
            <w:pPr>
              <w:tabs>
                <w:tab w:val="left" w:pos="790"/>
              </w:tabs>
              <w:overflowPunct w:val="0"/>
              <w:adjustRightInd w:val="0"/>
              <w:snapToGrid w:val="0"/>
              <w:spacing w:line="280" w:lineRule="exact"/>
              <w:rPr>
                <w:rFonts w:hint="eastAsia"/>
                <w:sz w:val="24"/>
                <w:szCs w:val="24"/>
              </w:rPr>
            </w:pPr>
            <w:r>
              <w:rPr>
                <w:rFonts w:hint="eastAsia"/>
                <w:sz w:val="24"/>
                <w:szCs w:val="24"/>
              </w:rPr>
              <w:t>（6）高等学校未经规定程序审批，以中外合作办学、示范性软件学院等名义收费</w:t>
            </w:r>
          </w:p>
          <w:p>
            <w:pPr>
              <w:tabs>
                <w:tab w:val="left" w:pos="790"/>
              </w:tabs>
              <w:overflowPunct w:val="0"/>
              <w:adjustRightInd w:val="0"/>
              <w:snapToGrid w:val="0"/>
              <w:spacing w:line="280" w:lineRule="exact"/>
              <w:rPr>
                <w:rFonts w:hint="eastAsia"/>
                <w:sz w:val="24"/>
                <w:szCs w:val="24"/>
              </w:rPr>
            </w:pPr>
            <w:r>
              <w:rPr>
                <w:rFonts w:hint="eastAsia"/>
                <w:sz w:val="24"/>
                <w:szCs w:val="24"/>
              </w:rPr>
              <w:t>（7）其他强制或变相强制收取服务性收费、代收费的问题</w:t>
            </w:r>
          </w:p>
        </w:tc>
        <w:tc>
          <w:tcPr>
            <w:tcW w:w="2239" w:type="dxa"/>
            <w:noWrap w:val="0"/>
            <w:vAlign w:val="center"/>
          </w:tcPr>
          <w:p>
            <w:pPr>
              <w:tabs>
                <w:tab w:val="left" w:pos="790"/>
              </w:tabs>
              <w:overflowPunct w:val="0"/>
              <w:adjustRightInd w:val="0"/>
              <w:snapToGrid w:val="0"/>
              <w:spacing w:line="280" w:lineRule="exact"/>
              <w:rPr>
                <w:rFonts w:hint="eastAsia"/>
                <w:sz w:val="24"/>
                <w:szCs w:val="24"/>
              </w:rPr>
            </w:pPr>
          </w:p>
        </w:tc>
        <w:tc>
          <w:tcPr>
            <w:tcW w:w="2076" w:type="dxa"/>
            <w:noWrap w:val="0"/>
            <w:vAlign w:val="center"/>
          </w:tcPr>
          <w:p>
            <w:pPr>
              <w:tabs>
                <w:tab w:val="left" w:pos="790"/>
              </w:tabs>
              <w:overflowPunct w:val="0"/>
              <w:adjustRightInd w:val="0"/>
              <w:snapToGrid w:val="0"/>
              <w:spacing w:line="28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cantSplit/>
          <w:trHeight w:val="567" w:hRule="atLeast"/>
          <w:jc w:val="center"/>
        </w:trPr>
        <w:tc>
          <w:tcPr>
            <w:tcW w:w="732" w:type="dxa"/>
            <w:noWrap w:val="0"/>
            <w:vAlign w:val="center"/>
          </w:tcPr>
          <w:p>
            <w:pPr>
              <w:tabs>
                <w:tab w:val="left" w:pos="790"/>
              </w:tabs>
              <w:overflowPunct w:val="0"/>
              <w:adjustRightInd w:val="0"/>
              <w:snapToGrid w:val="0"/>
              <w:spacing w:line="300" w:lineRule="exact"/>
              <w:jc w:val="center"/>
              <w:rPr>
                <w:rFonts w:hint="eastAsia"/>
                <w:sz w:val="24"/>
                <w:szCs w:val="24"/>
              </w:rPr>
            </w:pPr>
            <w:r>
              <w:rPr>
                <w:rFonts w:hint="eastAsia"/>
                <w:sz w:val="24"/>
                <w:szCs w:val="24"/>
              </w:rPr>
              <w:t>4</w:t>
            </w:r>
          </w:p>
        </w:tc>
        <w:tc>
          <w:tcPr>
            <w:tcW w:w="1616" w:type="dxa"/>
            <w:noWrap w:val="0"/>
            <w:vAlign w:val="center"/>
          </w:tcPr>
          <w:p>
            <w:pPr>
              <w:tabs>
                <w:tab w:val="left" w:pos="790"/>
              </w:tabs>
              <w:overflowPunct w:val="0"/>
              <w:adjustRightInd w:val="0"/>
              <w:snapToGrid w:val="0"/>
              <w:spacing w:line="300" w:lineRule="exact"/>
              <w:jc w:val="left"/>
              <w:rPr>
                <w:rFonts w:hint="eastAsia"/>
                <w:sz w:val="24"/>
                <w:szCs w:val="24"/>
              </w:rPr>
            </w:pPr>
            <w:r>
              <w:rPr>
                <w:rFonts w:hint="eastAsia"/>
                <w:sz w:val="24"/>
                <w:szCs w:val="24"/>
              </w:rPr>
              <w:t>学科类校外培训机构违法违规收费</w:t>
            </w:r>
          </w:p>
        </w:tc>
        <w:tc>
          <w:tcPr>
            <w:tcW w:w="6943" w:type="dxa"/>
            <w:noWrap w:val="0"/>
            <w:vAlign w:val="center"/>
          </w:tcPr>
          <w:p>
            <w:pPr>
              <w:tabs>
                <w:tab w:val="left" w:pos="790"/>
              </w:tabs>
              <w:overflowPunct w:val="0"/>
              <w:adjustRightInd w:val="0"/>
              <w:snapToGrid w:val="0"/>
              <w:spacing w:line="300" w:lineRule="exact"/>
              <w:rPr>
                <w:rFonts w:hint="eastAsia"/>
                <w:sz w:val="24"/>
                <w:szCs w:val="24"/>
              </w:rPr>
            </w:pPr>
            <w:r>
              <w:rPr>
                <w:rFonts w:hint="eastAsia"/>
                <w:sz w:val="24"/>
                <w:szCs w:val="24"/>
              </w:rPr>
              <w:t>（1）未执行政府指导价</w:t>
            </w:r>
          </w:p>
          <w:p>
            <w:pPr>
              <w:tabs>
                <w:tab w:val="left" w:pos="790"/>
              </w:tabs>
              <w:overflowPunct w:val="0"/>
              <w:adjustRightInd w:val="0"/>
              <w:snapToGrid w:val="0"/>
              <w:spacing w:line="300" w:lineRule="exact"/>
              <w:rPr>
                <w:rFonts w:hint="eastAsia"/>
                <w:sz w:val="24"/>
                <w:szCs w:val="24"/>
              </w:rPr>
            </w:pPr>
            <w:r>
              <w:rPr>
                <w:rFonts w:hint="eastAsia"/>
                <w:sz w:val="24"/>
                <w:szCs w:val="24"/>
              </w:rPr>
              <w:t>（2）未按照要求将培训收费项目、收费标准、培训时长、教师资质等对外公示，或公示内容不全、公示方式不规范</w:t>
            </w:r>
          </w:p>
          <w:p>
            <w:pPr>
              <w:tabs>
                <w:tab w:val="left" w:pos="790"/>
              </w:tabs>
              <w:overflowPunct w:val="0"/>
              <w:adjustRightInd w:val="0"/>
              <w:snapToGrid w:val="0"/>
              <w:spacing w:line="300" w:lineRule="exact"/>
              <w:rPr>
                <w:rFonts w:hint="eastAsia"/>
                <w:sz w:val="24"/>
                <w:szCs w:val="24"/>
              </w:rPr>
            </w:pPr>
            <w:r>
              <w:rPr>
                <w:rFonts w:hint="eastAsia"/>
                <w:sz w:val="24"/>
                <w:szCs w:val="24"/>
              </w:rPr>
              <w:t>（3）在培训费之外另行收取材料费、书本费等费用</w:t>
            </w:r>
          </w:p>
          <w:p>
            <w:pPr>
              <w:tabs>
                <w:tab w:val="left" w:pos="790"/>
              </w:tabs>
              <w:overflowPunct w:val="0"/>
              <w:adjustRightInd w:val="0"/>
              <w:snapToGrid w:val="0"/>
              <w:spacing w:line="300" w:lineRule="exact"/>
              <w:rPr>
                <w:rFonts w:hint="eastAsia"/>
                <w:sz w:val="24"/>
                <w:szCs w:val="24"/>
              </w:rPr>
            </w:pPr>
            <w:r>
              <w:rPr>
                <w:rFonts w:hint="eastAsia"/>
                <w:sz w:val="24"/>
                <w:szCs w:val="24"/>
              </w:rPr>
              <w:t>（4）学科类超时段（一次性收费或变相收费超过3个月或60课时）</w:t>
            </w:r>
          </w:p>
          <w:p>
            <w:pPr>
              <w:tabs>
                <w:tab w:val="left" w:pos="790"/>
              </w:tabs>
              <w:overflowPunct w:val="0"/>
              <w:adjustRightInd w:val="0"/>
              <w:snapToGrid w:val="0"/>
              <w:spacing w:line="300" w:lineRule="exact"/>
              <w:rPr>
                <w:rFonts w:hint="eastAsia"/>
                <w:sz w:val="24"/>
                <w:szCs w:val="24"/>
              </w:rPr>
            </w:pPr>
            <w:r>
              <w:rPr>
                <w:rFonts w:hint="eastAsia"/>
                <w:sz w:val="24"/>
                <w:szCs w:val="24"/>
              </w:rPr>
              <w:t>（5）其他违法行为和违规收费的问题</w:t>
            </w:r>
          </w:p>
        </w:tc>
        <w:tc>
          <w:tcPr>
            <w:tcW w:w="2239" w:type="dxa"/>
            <w:noWrap w:val="0"/>
            <w:vAlign w:val="center"/>
          </w:tcPr>
          <w:p>
            <w:pPr>
              <w:tabs>
                <w:tab w:val="left" w:pos="790"/>
              </w:tabs>
              <w:overflowPunct w:val="0"/>
              <w:adjustRightInd w:val="0"/>
              <w:snapToGrid w:val="0"/>
              <w:spacing w:line="300" w:lineRule="exact"/>
              <w:rPr>
                <w:rFonts w:hint="eastAsia"/>
                <w:sz w:val="24"/>
                <w:szCs w:val="24"/>
              </w:rPr>
            </w:pPr>
          </w:p>
        </w:tc>
        <w:tc>
          <w:tcPr>
            <w:tcW w:w="2076" w:type="dxa"/>
            <w:noWrap w:val="0"/>
            <w:vAlign w:val="center"/>
          </w:tcPr>
          <w:p>
            <w:pPr>
              <w:tabs>
                <w:tab w:val="left" w:pos="790"/>
              </w:tabs>
              <w:overflowPunct w:val="0"/>
              <w:adjustRightInd w:val="0"/>
              <w:snapToGrid w:val="0"/>
              <w:spacing w:line="300" w:lineRule="exact"/>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7" w:type="dxa"/>
            <w:left w:w="108" w:type="dxa"/>
            <w:bottom w:w="17" w:type="dxa"/>
            <w:right w:w="108" w:type="dxa"/>
          </w:tblCellMar>
        </w:tblPrEx>
        <w:trPr>
          <w:cantSplit/>
          <w:trHeight w:val="567" w:hRule="atLeast"/>
          <w:jc w:val="center"/>
        </w:trPr>
        <w:tc>
          <w:tcPr>
            <w:tcW w:w="732" w:type="dxa"/>
            <w:noWrap w:val="0"/>
            <w:vAlign w:val="center"/>
          </w:tcPr>
          <w:p>
            <w:pPr>
              <w:tabs>
                <w:tab w:val="left" w:pos="790"/>
              </w:tabs>
              <w:overflowPunct w:val="0"/>
              <w:adjustRightInd w:val="0"/>
              <w:snapToGrid w:val="0"/>
              <w:spacing w:line="300" w:lineRule="exact"/>
              <w:jc w:val="center"/>
              <w:rPr>
                <w:rFonts w:hint="eastAsia"/>
                <w:sz w:val="24"/>
                <w:szCs w:val="24"/>
              </w:rPr>
            </w:pPr>
            <w:r>
              <w:rPr>
                <w:rFonts w:hint="eastAsia"/>
                <w:sz w:val="24"/>
                <w:szCs w:val="24"/>
              </w:rPr>
              <w:t>5</w:t>
            </w:r>
          </w:p>
        </w:tc>
        <w:tc>
          <w:tcPr>
            <w:tcW w:w="1616" w:type="dxa"/>
            <w:noWrap w:val="0"/>
            <w:vAlign w:val="center"/>
          </w:tcPr>
          <w:p>
            <w:pPr>
              <w:tabs>
                <w:tab w:val="left" w:pos="790"/>
              </w:tabs>
              <w:overflowPunct w:val="0"/>
              <w:adjustRightInd w:val="0"/>
              <w:snapToGrid w:val="0"/>
              <w:spacing w:line="300" w:lineRule="exact"/>
              <w:jc w:val="left"/>
              <w:rPr>
                <w:rFonts w:hint="eastAsia"/>
                <w:sz w:val="24"/>
                <w:szCs w:val="24"/>
              </w:rPr>
            </w:pPr>
            <w:r>
              <w:rPr>
                <w:rFonts w:hint="eastAsia"/>
                <w:sz w:val="24"/>
                <w:szCs w:val="24"/>
              </w:rPr>
              <w:t>社会反映的其他突出问题</w:t>
            </w:r>
          </w:p>
        </w:tc>
        <w:tc>
          <w:tcPr>
            <w:tcW w:w="6943" w:type="dxa"/>
            <w:noWrap w:val="0"/>
            <w:vAlign w:val="center"/>
          </w:tcPr>
          <w:p>
            <w:pPr>
              <w:tabs>
                <w:tab w:val="left" w:pos="790"/>
              </w:tabs>
              <w:overflowPunct w:val="0"/>
              <w:adjustRightInd w:val="0"/>
              <w:snapToGrid w:val="0"/>
              <w:spacing w:line="300" w:lineRule="exact"/>
              <w:rPr>
                <w:rFonts w:hint="eastAsia"/>
                <w:sz w:val="24"/>
                <w:szCs w:val="24"/>
              </w:rPr>
            </w:pPr>
            <w:r>
              <w:rPr>
                <w:rFonts w:hint="eastAsia"/>
                <w:sz w:val="24"/>
                <w:szCs w:val="24"/>
              </w:rPr>
              <w:t>（1）收取或变相收取借读费、择校费，与招生录取挂钩的赞助费、共建费或捐资助学费，以及通过基金会、社会中介、培训机构等关联交易变相收取与招生相关联的费用</w:t>
            </w:r>
          </w:p>
          <w:p>
            <w:pPr>
              <w:tabs>
                <w:tab w:val="left" w:pos="790"/>
              </w:tabs>
              <w:overflowPunct w:val="0"/>
              <w:adjustRightInd w:val="0"/>
              <w:snapToGrid w:val="0"/>
              <w:spacing w:line="300" w:lineRule="exact"/>
              <w:rPr>
                <w:rFonts w:hint="eastAsia"/>
                <w:sz w:val="24"/>
                <w:szCs w:val="24"/>
              </w:rPr>
            </w:pPr>
            <w:r>
              <w:rPr>
                <w:rFonts w:hint="eastAsia"/>
                <w:sz w:val="24"/>
                <w:szCs w:val="24"/>
              </w:rPr>
              <w:t>（2）通过校企合作开展与学历教育相关的培训、实训并收取费用</w:t>
            </w:r>
          </w:p>
          <w:p>
            <w:pPr>
              <w:tabs>
                <w:tab w:val="left" w:pos="790"/>
              </w:tabs>
              <w:overflowPunct w:val="0"/>
              <w:adjustRightInd w:val="0"/>
              <w:snapToGrid w:val="0"/>
              <w:spacing w:line="300" w:lineRule="exact"/>
              <w:rPr>
                <w:rFonts w:hint="eastAsia"/>
                <w:sz w:val="24"/>
                <w:szCs w:val="24"/>
              </w:rPr>
            </w:pPr>
            <w:r>
              <w:rPr>
                <w:rFonts w:hint="eastAsia"/>
                <w:sz w:val="24"/>
                <w:szCs w:val="24"/>
              </w:rPr>
              <w:t>（3）职业学校和实习单位向学生收取实习押金、岗位实习报酬提成、管理费或其他形式的实习费用</w:t>
            </w:r>
          </w:p>
          <w:p>
            <w:pPr>
              <w:tabs>
                <w:tab w:val="left" w:pos="790"/>
              </w:tabs>
              <w:overflowPunct w:val="0"/>
              <w:adjustRightInd w:val="0"/>
              <w:snapToGrid w:val="0"/>
              <w:spacing w:line="300" w:lineRule="exact"/>
              <w:rPr>
                <w:rFonts w:hint="eastAsia"/>
                <w:sz w:val="24"/>
                <w:szCs w:val="24"/>
              </w:rPr>
            </w:pPr>
            <w:r>
              <w:rPr>
                <w:rFonts w:hint="eastAsia"/>
                <w:sz w:val="24"/>
                <w:szCs w:val="24"/>
              </w:rPr>
              <w:t>（4）非营利性民办学校举办者和非营利中外合作办学者通过各种方式从学费收入等办学收益中取得收益、分配办学结余（剩余财产</w:t>
            </w:r>
            <w:r>
              <w:rPr>
                <w:sz w:val="24"/>
                <w:szCs w:val="24"/>
                <w:lang w:val="en"/>
              </w:rPr>
              <w:t>）</w:t>
            </w:r>
            <w:r>
              <w:rPr>
                <w:rFonts w:hint="eastAsia"/>
                <w:sz w:val="24"/>
                <w:szCs w:val="24"/>
              </w:rPr>
              <w:t>或通过关联交易、关联方转移办学收益等行为</w:t>
            </w:r>
          </w:p>
          <w:p>
            <w:pPr>
              <w:tabs>
                <w:tab w:val="left" w:pos="790"/>
              </w:tabs>
              <w:overflowPunct w:val="0"/>
              <w:adjustRightInd w:val="0"/>
              <w:snapToGrid w:val="0"/>
              <w:spacing w:line="300" w:lineRule="exact"/>
              <w:rPr>
                <w:rFonts w:hint="eastAsia"/>
                <w:sz w:val="24"/>
                <w:szCs w:val="24"/>
              </w:rPr>
            </w:pPr>
            <w:r>
              <w:rPr>
                <w:rFonts w:hint="eastAsia"/>
                <w:sz w:val="24"/>
                <w:szCs w:val="24"/>
              </w:rPr>
              <w:t>（5）中小学、幼儿园食堂强制学生搭餐，违规乱收费，虛报、冒领、套取、挤占、挪用、克扣学生伙食费或营养膳食补助资金</w:t>
            </w:r>
          </w:p>
          <w:p>
            <w:pPr>
              <w:tabs>
                <w:tab w:val="left" w:pos="790"/>
              </w:tabs>
              <w:overflowPunct w:val="0"/>
              <w:adjustRightInd w:val="0"/>
              <w:snapToGrid w:val="0"/>
              <w:spacing w:line="300" w:lineRule="exact"/>
              <w:rPr>
                <w:rFonts w:hint="eastAsia"/>
                <w:sz w:val="24"/>
                <w:szCs w:val="24"/>
              </w:rPr>
            </w:pPr>
            <w:r>
              <w:rPr>
                <w:rFonts w:hint="eastAsia"/>
                <w:sz w:val="24"/>
                <w:szCs w:val="24"/>
              </w:rPr>
              <w:t>（6）学校收取的教材费、伙食费等代收费未据实结算，以代收费获得中间差价或从中收取回扣</w:t>
            </w:r>
          </w:p>
        </w:tc>
        <w:tc>
          <w:tcPr>
            <w:tcW w:w="2239" w:type="dxa"/>
            <w:noWrap w:val="0"/>
            <w:vAlign w:val="center"/>
          </w:tcPr>
          <w:p>
            <w:pPr>
              <w:tabs>
                <w:tab w:val="left" w:pos="790"/>
              </w:tabs>
              <w:overflowPunct w:val="0"/>
              <w:adjustRightInd w:val="0"/>
              <w:snapToGrid w:val="0"/>
              <w:spacing w:line="300" w:lineRule="exact"/>
              <w:rPr>
                <w:rFonts w:hint="eastAsia"/>
                <w:sz w:val="24"/>
                <w:szCs w:val="24"/>
              </w:rPr>
            </w:pPr>
          </w:p>
        </w:tc>
        <w:tc>
          <w:tcPr>
            <w:tcW w:w="2076" w:type="dxa"/>
            <w:noWrap w:val="0"/>
            <w:vAlign w:val="center"/>
          </w:tcPr>
          <w:p>
            <w:pPr>
              <w:tabs>
                <w:tab w:val="left" w:pos="790"/>
              </w:tabs>
              <w:overflowPunct w:val="0"/>
              <w:adjustRightInd w:val="0"/>
              <w:snapToGrid w:val="0"/>
              <w:spacing w:line="300" w:lineRule="exact"/>
              <w:rPr>
                <w:rFonts w:hint="eastAsia"/>
                <w:sz w:val="24"/>
                <w:szCs w:val="24"/>
              </w:rPr>
            </w:pPr>
          </w:p>
        </w:tc>
      </w:tr>
    </w:tbl>
    <w:p>
      <w:pPr>
        <w:tabs>
          <w:tab w:val="left" w:pos="790"/>
        </w:tabs>
        <w:overflowPunct w:val="0"/>
        <w:adjustRightInd w:val="0"/>
        <w:snapToGrid w:val="0"/>
        <w:spacing w:before="120"/>
        <w:rPr>
          <w:rFonts w:hint="eastAsia"/>
          <w:sz w:val="24"/>
          <w:szCs w:val="24"/>
        </w:rPr>
      </w:pPr>
      <w:r>
        <w:rPr>
          <w:rFonts w:hint="eastAsia"/>
          <w:sz w:val="24"/>
          <w:szCs w:val="24"/>
        </w:rPr>
        <w:t>填表人和联系电话：　　　　　　　　　　　　核表人和联系电话：　　　　　　　　　　　填表日期：　　　年   月   日</w:t>
      </w:r>
    </w:p>
    <w:p>
      <w:pPr>
        <w:tabs>
          <w:tab w:val="left" w:pos="790"/>
        </w:tabs>
        <w:overflowPunct w:val="0"/>
        <w:adjustRightInd w:val="0"/>
        <w:snapToGrid w:val="0"/>
        <w:rPr>
          <w:rFonts w:hint="eastAsia"/>
          <w:sz w:val="24"/>
          <w:szCs w:val="24"/>
        </w:rPr>
      </w:pPr>
    </w:p>
    <w:p>
      <w:pPr>
        <w:tabs>
          <w:tab w:val="left" w:pos="790"/>
        </w:tabs>
        <w:overflowPunct w:val="0"/>
        <w:adjustRightInd w:val="0"/>
        <w:snapToGrid w:val="0"/>
      </w:pPr>
      <w:r>
        <w:rPr>
          <w:rFonts w:hint="eastAsia" w:ascii="楷体_GB2312" w:hAnsi="楷体_GB2312" w:eastAsia="楷体_GB2312" w:cs="楷体_GB2312"/>
          <w:sz w:val="24"/>
          <w:szCs w:val="24"/>
        </w:rPr>
        <w:t>注：1</w:t>
      </w:r>
      <w:r>
        <w:rPr>
          <w:rFonts w:ascii="楷体_GB2312" w:hAnsi="楷体_GB2312" w:eastAsia="楷体_GB2312" w:cs="楷体_GB2312"/>
          <w:sz w:val="24"/>
          <w:szCs w:val="24"/>
          <w:lang w:val="en"/>
        </w:rPr>
        <w:t>．</w:t>
      </w:r>
      <w:r>
        <w:rPr>
          <w:rFonts w:hint="eastAsia" w:ascii="楷体_GB2312" w:hAnsi="楷体_GB2312" w:eastAsia="楷体_GB2312" w:cs="楷体_GB2312"/>
          <w:sz w:val="24"/>
          <w:szCs w:val="24"/>
        </w:rPr>
        <w:t>由被查学校或培训机构填写本表</w:t>
      </w:r>
      <w:r>
        <w:rPr>
          <w:rFonts w:hint="eastAsia" w:ascii="楷体_GB2312" w:hAnsi="楷体_GB2312" w:eastAsia="楷体_GB2312" w:cs="楷体_GB2312"/>
          <w:sz w:val="24"/>
          <w:szCs w:val="24"/>
          <w:lang w:eastAsia="zh-CN"/>
        </w:rPr>
        <w:t>。</w:t>
      </w:r>
      <w:bookmarkStart w:id="0" w:name="_GoBack"/>
      <w:bookmarkEnd w:id="0"/>
      <w:r>
        <w:rPr>
          <w:rFonts w:hint="eastAsia" w:ascii="楷体_GB2312" w:hAnsi="楷体_GB2312" w:eastAsia="楷体_GB2312" w:cs="楷体_GB2312"/>
          <w:sz w:val="24"/>
          <w:szCs w:val="24"/>
          <w:lang w:val="en-US" w:eastAsia="zh-CN"/>
        </w:rPr>
        <w:t xml:space="preserve"> 2.</w:t>
      </w:r>
      <w:r>
        <w:rPr>
          <w:rFonts w:hint="eastAsia" w:ascii="楷体_GB2312" w:hAnsi="楷体_GB2312" w:eastAsia="楷体_GB2312" w:cs="楷体_GB2312"/>
          <w:sz w:val="24"/>
          <w:szCs w:val="24"/>
        </w:rPr>
        <w:t>自查时限：2021年秋季学期以来的收费行为。</w:t>
      </w:r>
      <w:r>
        <w:rPr>
          <w:rFonts w:hint="eastAsia" w:ascii="楷体_GB2312" w:hAnsi="楷体_GB2312" w:eastAsia="楷体_GB2312" w:cs="楷体_GB2312"/>
          <w:sz w:val="24"/>
          <w:szCs w:val="24"/>
          <w:lang w:val="en-US" w:eastAsia="zh-CN"/>
        </w:rPr>
        <w:t xml:space="preserve">  3.</w:t>
      </w:r>
      <w:r>
        <w:rPr>
          <w:rFonts w:hint="eastAsia" w:ascii="楷体_GB2312" w:hAnsi="楷体_GB2312" w:eastAsia="楷体_GB2312" w:cs="楷体_GB2312"/>
          <w:sz w:val="24"/>
          <w:szCs w:val="24"/>
          <w:lang w:eastAsia="zh-CN"/>
        </w:rPr>
        <w:t>各学校于</w:t>
      </w:r>
      <w:r>
        <w:rPr>
          <w:rFonts w:hint="eastAsia" w:ascii="楷体_GB2312" w:hAnsi="楷体_GB2312" w:eastAsia="楷体_GB2312" w:cs="楷体_GB2312"/>
          <w:sz w:val="24"/>
          <w:szCs w:val="24"/>
          <w:lang w:val="en-US" w:eastAsia="zh-CN"/>
        </w:rPr>
        <w:t>9月13日（周三）前将自查自纠情况表（学校盖章、校园长签字、以学校名称命名的PDF文件格式）通过FTP发至区教育局督导室“2021年秋季起学校教育收费自查自纠情况表”专用文件夹内。各学科类校外培训机构根据嘉定区教育局成职教科校外培训管理部要求，于9月13日（周三）前上交自查自纠情况表。</w:t>
      </w:r>
    </w:p>
    <w:sectPr>
      <w:pgSz w:w="16838" w:h="11906" w:orient="landscape"/>
      <w:pgMar w:top="1406" w:right="1440" w:bottom="140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RlYjJlYTU5NWJjMjA1YzU5YzY4ZTM3MjMzMzRkOGMifQ=="/>
  </w:docVars>
  <w:rsids>
    <w:rsidRoot w:val="5280441E"/>
    <w:rsid w:val="07237474"/>
    <w:rsid w:val="5280441E"/>
    <w:rsid w:val="7F1AA7A7"/>
    <w:rsid w:val="FF7D94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仿宋_GB2312" w:eastAsia="仿宋_GB2312" w:cs="Times New Roman"/>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2023-09-11T10:13:00Z</dcterms:created>
  <dc:creator>Administrator</dc:creator>
  <cp:lastModifiedBy>Administrator</cp:lastModifiedBy>
  <dcterms:modified xsi:type="dcterms:W3CDTF">2023-09-11T06:15:28Z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95B0E32B8511432F857ACB5B6341F3CA_11</vt:lpwstr>
  </property>
</Properties>
</file>