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32"/>
        </w:rPr>
        <w:t>2023年嘉定区街镇成人学校（社区学校）绩效评估指标</w:t>
      </w:r>
    </w:p>
    <w:tbl>
      <w:tblPr>
        <w:tblStyle w:val="6"/>
        <w:tblW w:w="1363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34"/>
        <w:gridCol w:w="708"/>
        <w:gridCol w:w="851"/>
        <w:gridCol w:w="817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达标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未达标</w:t>
            </w:r>
          </w:p>
        </w:tc>
        <w:tc>
          <w:tcPr>
            <w:tcW w:w="8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育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党群工作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思想引领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深入学习宣传贯彻党的二十大精神，扎实开展习近平新时代中国特色社会主义思想主题教育。坚持用社会主义核心价值观铸魂育人，健全意识形态“六责联动”机制，加强教师、学生思想政治工作。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全面贯彻党的教育方针，坚持社会主义办学方向，落实立德树人根本任务，遵循教育规律，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加强党组织在深化教育领域改革的领导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，发展素质教育。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纪律作风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落实本单位全面从严治党“四责协同”机制。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开展党风廉政建设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工会工作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依法及时换届。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实施教职工大会制度，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年内至少召开2次教代会，落实提案制和涉及教工切身利益等重大事项票决制。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关爱教职工，做好保障工作，年内开展或参加2次教工文体活动。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健全单位退管组织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关心退休教工，做好帮扶慰问和体检工作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有效开展退休教工活动。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依法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办学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依法治校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</w:rPr>
              <w:t>推进章程及系列配套制度建设。在推进“十四五”发展规划的过程中，根据深化新时代教育工作改革要求和学校实际发展情况，加强对学校章程和发展规划的调整与落实，促进年度目标达成。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校务管理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发挥校务委员会作用，定期研究、协调成人教育工作，促进区域资源整合。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资产管理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严格按规定采购设备，规范做好国有资产管理工作。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信访稳定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信访工作领导责任制明确,无越级上访、集体上访事件。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师资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队伍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师资管理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教职工岗位职责明确，任职考核评价规范科学。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薪酬待遇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绩效发放规范合理，发挥激励作用。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教育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培训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长班管理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落实“励学计划”，积极开展学历教育。非学历教育班级数、总学员数逐步增长。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短班管理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短期培训、讲座内容丰富、参与面广、培训率高。结合区域实际，自行开展或合作开展职业技能培训，创建区域培训特色。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讲座管理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发挥学习点作用，开展各类教育培训讲座。校本讲座内容丰富、参与面广、培训率高。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主题活动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开展有主题的年度终身学习周系列活动，举办街镇全民终身学习周开幕式。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教育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教学活动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组织参与课堂教学评优和校本教研活动。组织开展市民自选课堂。因地制宜，开设自主课堂。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成人教育学院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教育科研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完成各级课题或项目申报，参与市、区论文评比活动。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教务管理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加强专兼职教师、办学干部等队伍建设，专职教师培训按要求推进，培训学时达到总量的100%。做好各级社区教育杂志、简报供稿与数据统计工作。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育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质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量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展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标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重点项目49分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学习型组织建设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推进学习型组织建设，开展市学习型乡村试点及学习型企业、社区、团队、家庭建设。实施助力“乡村振兴”行动计划、“上海学习型乡村建设品牌项目”。充分运用媒体宣传，在区级以上推广有影响力。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人文行走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至少挖掘1条人文行走线路和若干“人文修身”学习点建设，积极完成市级相关活动，市民参与率高，微信公众平台等新媒体有报道。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继续教育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持续落实“百万在岗人员学力提升”计划，协力开设有特色、讲公益、有实效的职业技能培训项目，学历教育和在岗人员培训人次保持稳定。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社区教育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实验项目实施效果明显，市、区论文评比按获奖情况评价。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参与市“申学书院—市民大讲堂”学习活动。培育社区教育志愿服务品牌，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注册志愿者数量有递增，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媒体宣传推广有成果。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加强数字化学习社区建设，开展市、区两级云视课堂等网上课程学习，参加市级数字阅读活动，推进“学哉嘉定”等教育信息化管理平台建设。 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资源整合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推广区级居村示范学习点建设成果，推进市民学习体验基地建设。推进老年素质教育有成效。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积极开展全民终身学习周活动、老年艺术节等活动。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倍增计划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老年教育三类学习点（示范学习点、社会学习点、养教结合学习点）建设有成效。积极推进师资培训、课程案例共建共享。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学校数字化学习场景建设有成效。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完成星级老年学习团队和工作室建设任务，培育网上学习圈、移动学习群等各类新型学习团队。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学校发展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43分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创建活动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充分运用各种媒体进行教育综合改革等方面的宣传，区域内辐射推广有影响力。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积极开展文明单位创建和师德教育活动。  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积极总结学校工作特色经验，嘉定教育信息报送工作成效显著。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改进计划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完善落实学校改进计划，确保改进项目实施有明显成效。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学习点建设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完成年度村居委老年人标准化学习点建设任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务，确保经费投入。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学习点活动开展有记录，有实效。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老年学校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推进街镇老年学校能力提升工程，做好老年教育机构标准化建设，进一步挖掘潜能，优化内部设置，提高办学水平。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内涵建设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积极创建上海市街镇社区（老年）学校内涵建设优质校和国家、市、区级终身学习品牌项目。品牌项目有创新，示范引领有措施，有成效。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培育线上线下名师特色课程。开展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数字教育、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数字化课程和区本课程资源的开发、推广与运用。加强市、区级资源配送管理，有资源展示区、配送记录。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积极承办开展、组织动员各级各类活动，区级及以上层面活动有交流、有分享，根据学校获奖情况评价。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办学特色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有顶层设计，与学校文化、培养目标紧密融合，符合学校实际。得到师生、社会的广泛认可，师生参与度高，年度创建成效明显。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社会评价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局分管领导评价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根据学校工作实绩评价。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街镇分管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领导评价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根据学校工作实绩评价。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7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否</w:t>
            </w:r>
          </w:p>
        </w:tc>
        <w:tc>
          <w:tcPr>
            <w:tcW w:w="817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戒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党风廉政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无违反政治纪律和政治规矩行为，无选人用人领域严重违规行为，无党员、教职工违纪违法行为，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无弄虚作假行为。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思想教育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无意识形态领域内造成不良社会影响事件。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无师德失范行为，未出现严重师德师风问题。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招生收费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无违规招生、违规收费、违规办班。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安全卫生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无重大校园安全责任事故。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无重大食品安全责任事故、无重大传染病防控失误。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财物资产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无重大违规使用教育经费等问题。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教育事务服务中心（审计事务部）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无重大违规采购货物、信息化项目及违规使用公务车辆等问题。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教育资产与财务核算中心</w:t>
            </w:r>
          </w:p>
        </w:tc>
      </w:tr>
    </w:tbl>
    <w:p>
      <w:pPr>
        <w:spacing w:line="200" w:lineRule="exact"/>
        <w:jc w:val="left"/>
        <w:rPr>
          <w:rFonts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备注：1.教育治理基础性指标评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方式为“达标或未达标”的定性评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，由相关职能科室根据日常工作过程性检查、数据采集、资料查阅、日常调研、平台监测等方式进行评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。2.教育质量发展性指标评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方式为满分100分的定量评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，由相关职能科室通过问卷调查、过程性检查、数据采集、资料查阅、日常调研、质量监测、事实核定、满意度测评等方式进行评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jJlYTU5NWJjMjA1YzU5YzY4ZTM3MjMzMzRkOGMifQ=="/>
  </w:docVars>
  <w:rsids>
    <w:rsidRoot w:val="579F126B"/>
    <w:rsid w:val="00256B3E"/>
    <w:rsid w:val="002D0E23"/>
    <w:rsid w:val="00455B6A"/>
    <w:rsid w:val="00854C26"/>
    <w:rsid w:val="00A83FFE"/>
    <w:rsid w:val="051407B4"/>
    <w:rsid w:val="08321302"/>
    <w:rsid w:val="19C01FFC"/>
    <w:rsid w:val="19E846C4"/>
    <w:rsid w:val="1CB52CC3"/>
    <w:rsid w:val="22597BA2"/>
    <w:rsid w:val="245E2243"/>
    <w:rsid w:val="282453FC"/>
    <w:rsid w:val="291853E7"/>
    <w:rsid w:val="2B6F4C50"/>
    <w:rsid w:val="2DD62B16"/>
    <w:rsid w:val="31890C2A"/>
    <w:rsid w:val="333149E1"/>
    <w:rsid w:val="35E36143"/>
    <w:rsid w:val="3EC96126"/>
    <w:rsid w:val="44286A53"/>
    <w:rsid w:val="46133BE5"/>
    <w:rsid w:val="52977B10"/>
    <w:rsid w:val="579F126B"/>
    <w:rsid w:val="57C20591"/>
    <w:rsid w:val="58296F9E"/>
    <w:rsid w:val="690F0BD9"/>
    <w:rsid w:val="6A705FAA"/>
    <w:rsid w:val="6ADF8C6E"/>
    <w:rsid w:val="6D45564C"/>
    <w:rsid w:val="6E7F4B8D"/>
    <w:rsid w:val="6FCB0C1B"/>
    <w:rsid w:val="737DB9BC"/>
    <w:rsid w:val="7E1D1BAF"/>
    <w:rsid w:val="E7573BB1"/>
    <w:rsid w:val="EBF7FDDB"/>
    <w:rsid w:val="F7F7E1D4"/>
    <w:rsid w:val="FF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首行缩进 2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2609</Words>
  <Characters>2623</Characters>
  <Lines>21</Lines>
  <Paragraphs>6</Paragraphs>
  <TotalTime>9</TotalTime>
  <ScaleCrop>false</ScaleCrop>
  <LinksUpToDate>false</LinksUpToDate>
  <CharactersWithSpaces>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2022-07-05T14:23:00Z</dcterms:created>
  <dc:creator>jd</dc:creator>
  <cp:lastModifiedBy>Administrator</cp:lastModifiedBy>
  <dcterms:modified xsi:type="dcterms:W3CDTF">2023-07-04T03:11:13Z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7AB48B33245D4F68A893168E0694F547</vt:lpwstr>
  </property>
</Properties>
</file>