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202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44"/>
          <w:szCs w:val="44"/>
        </w:rPr>
        <w:t>年嘉定区民办随迁子女小学绩效评估指标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（试行稿）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</w:rPr>
      </w:pPr>
    </w:p>
    <w:tbl>
      <w:tblPr>
        <w:tblStyle w:val="3"/>
        <w:tblW w:w="14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1238"/>
        <w:gridCol w:w="731"/>
        <w:gridCol w:w="19"/>
        <w:gridCol w:w="846"/>
        <w:gridCol w:w="7096"/>
        <w:gridCol w:w="1327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0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0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0" w:firstLineChars="20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换届；依法、及时、足额上缴工会经费；教代会操作规范，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及时完成“爱心一日捐”；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次教工文体活动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团队工作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做好教工团支部日常工作；完善少先队组织，开展丰富多彩的少先队活动。</w:t>
            </w:r>
          </w:p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依法办学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规范办学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学校章程合法合规，董事会（或理事会）组成符合法律要求，法人治理结构健全，按要求聘任有资质的校长。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学校有各项规章制度并能严格执行。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严格执行招生政策，控制班额和办学规模。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落实市义务教育课后服务工作指南，为放学后自愿留校的学生提供免费课后服务，服务内容满足个性化需求，管理规范，安全有序，学生、家长满意度较高。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年检情况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经第三方年检“合格”。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年检报告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家委会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队伍管理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按照编制配备标准使用教职工，并严格执行聘用合同制，签订教职工劳动合同或聘用合同书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制订合理的教职工薪酬分配方案，建立优劳优酬的分配机制。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配备有资质的专职心理健康教师，制定学校心理健康教育工作团队建设方案，定期开展心理危机干预和干预培训；全面实施全员导师制；优化家庭教育指导者队伍，开展分层家庭教育指导培训；落实全体教师家访制度，导师每学期至少全员家访一次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“三全”育人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手机管理。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学校安全、节粮、环保、法治、诚信、毒品预防教育等无缺项；学生突发事件处置及时得当；无校园欺凌现象。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加强课程建设，拓展型、探究型课程推进有实效，构建校本特点的综合课程群。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规范执行市、区学籍管理规定，按时完成学籍注册、转学等管理工作；落实“教学五环节”制度，规范教学常规管理；教研活动定时间、定主题、有实效。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实施学生学业质量监测机制，落实基于课程标准的教学与评价，在学生学习过程中给予适时适当反馈，促进学业水平提升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逐步完善高质量校本作业体系，用足用好各类资源，推进信息技术与课堂教学的深度融合，线上教学有效实施。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重视学生综合素质评价，尝试基于大数据的学生综合素质评价，初步建立学校质量保障和自我评估改进机制。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体质健康管理、睡眠管理、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近视眼防控、传染病防控、红十字等工作，因病缺课网络直报缺漏率不超过2%。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0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标100分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学生理解、掌握各学科课程标准要求的基础知识和基本技能，具备独立思考、提出质疑、钻研探究和创新实践能力；学校学业质量整体呈优质均衡状态。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学习生活品质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学生具有积极的学习品质，人际关系和谐，有一定的兴趣爱好和特长（科技等），学业负担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（含作业负担）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和学习压力适度；学校课程促进学生全面发展。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教师成长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搭建各类教师学习展示的平台；注重青年教师培育，每百名学生拥有骨干教师数超标准，教师高一层次学历比例达标。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校本培训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积极参与区级培训项目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有效开展校本培训，促进教师专业发展。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组织科研活动，促进教师专业成长；开展课题研究，推动教育改革发展。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积极完成“国家义务教育优质均衡发展区创建”相关工作，成效显著。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充分运用各种媒体进行教育综合改革等方面的宣传，区域内辐射推广有影响力。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参与紧密型学区化、集团化办学等综改项目，根据项目要求积极承办或参与主题活动，推动优质教学资源共享氛围形成。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 w:firstLine="105" w:firstLineChars="5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街镇分管领导评价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根据网上全覆盖家长满意度测评评价情况。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0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无考试违规行为。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无重大违规采购货物、信息化项目及违规使用公务车辆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56334"/>
    <w:rsid w:val="000057F6"/>
    <w:rsid w:val="09F91854"/>
    <w:rsid w:val="0BF13AC7"/>
    <w:rsid w:val="13D56334"/>
    <w:rsid w:val="6BA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2022-07-04T06:22:00Z</dcterms:created>
  <dc:creator>jd</dc:creator>
  <cp:lastModifiedBy>jd</cp:lastModifiedBy>
  <dcterms:modified xsi:type="dcterms:W3CDTF">2022-07-15T05:18:38Z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A723B89407D045E887DDE87557F16A55</vt:lpwstr>
  </property>
</Properties>
</file>