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宋体"/>
          <w:color w:val="auto"/>
          <w:sz w:val="32"/>
          <w:szCs w:val="32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  <w:t>年嘉定区学校绩效评估工作方案</w:t>
      </w:r>
    </w:p>
    <w:p>
      <w:pPr>
        <w:widowControl/>
        <w:spacing w:line="520" w:lineRule="exact"/>
        <w:rPr>
          <w:rFonts w:ascii="仿宋_GB2312" w:hAnsi="黑体" w:cs="宋体"/>
          <w:b/>
          <w:bCs/>
          <w:color w:val="auto"/>
          <w:kern w:val="0"/>
          <w:sz w:val="32"/>
          <w:szCs w:val="32"/>
        </w:rPr>
      </w:pPr>
    </w:p>
    <w:p>
      <w:pPr>
        <w:widowControl/>
        <w:spacing w:line="520" w:lineRule="exact"/>
        <w:ind w:firstLine="640" w:firstLineChars="200"/>
        <w:rPr>
          <w:rFonts w:ascii="黑体" w:hAnsi="黑体" w:eastAsia="黑体" w:cs="宋体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</w:rPr>
        <w:t>一、指导思想</w:t>
      </w:r>
    </w:p>
    <w:p>
      <w:pPr>
        <w:widowControl/>
        <w:spacing w:line="52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为贯彻落实中共中央、国务院《深化新时代教育评价改革总体方案》《上海市深化新时代教育评价改革实施方案》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《嘉定区深化新时代教育评价改革行动方案》文件要求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，完善立德树人体制机制，坚决克服唯分数、唯升学、唯文凭、唯论文、唯帽子的顽瘴痼疾，以教育评价改革引领嘉定教育高品质发展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。</w:t>
      </w:r>
    </w:p>
    <w:p>
      <w:pPr>
        <w:widowControl/>
        <w:spacing w:line="520" w:lineRule="exact"/>
        <w:ind w:firstLine="640" w:firstLineChars="200"/>
        <w:rPr>
          <w:rFonts w:ascii="黑体" w:hAnsi="黑体" w:eastAsia="黑体" w:cs="宋体"/>
          <w:bCs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围绕202</w:t>
      </w:r>
      <w:r>
        <w:rPr>
          <w:rFonts w:hint="eastAsia" w:ascii="仿宋_GB2312" w:hAnsi="宋体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年度嘉定区教育工作总体思路和发展目标，充分发挥教育评估的激励导向作用，引导各级各类学校在依法规范办学的基础上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落实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“十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四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五”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规划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，深化</w:t>
      </w:r>
      <w:r>
        <w:rPr>
          <w:rFonts w:hint="eastAsia" w:ascii="仿宋_GB2312" w:hAnsi="宋体"/>
          <w:color w:val="auto"/>
          <w:kern w:val="0"/>
          <w:sz w:val="32"/>
          <w:szCs w:val="32"/>
          <w:lang w:eastAsia="zh-CN"/>
        </w:rPr>
        <w:t>嘉定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教育</w:t>
      </w:r>
      <w:r>
        <w:rPr>
          <w:rFonts w:hint="eastAsia" w:ascii="仿宋_GB2312" w:hAnsi="宋体"/>
          <w:color w:val="auto"/>
          <w:kern w:val="0"/>
          <w:sz w:val="32"/>
          <w:szCs w:val="32"/>
          <w:lang w:eastAsia="zh-CN"/>
        </w:rPr>
        <w:t>优质均衡发展的内涵建设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推进嘉定教育现代化进程。 </w:t>
      </w:r>
    </w:p>
    <w:p>
      <w:pPr>
        <w:widowControl/>
        <w:spacing w:line="520" w:lineRule="exact"/>
        <w:ind w:firstLine="640" w:firstLineChars="200"/>
        <w:rPr>
          <w:rFonts w:ascii="黑体" w:hAnsi="黑体" w:eastAsia="黑体" w:cs="宋体"/>
          <w:bCs/>
          <w:color w:val="auto"/>
          <w:kern w:val="0"/>
          <w:sz w:val="32"/>
          <w:szCs w:val="32"/>
        </w:rPr>
      </w:pPr>
      <w:r>
        <w:rPr>
          <w:rFonts w:ascii="黑体" w:hAnsi="黑体" w:eastAsia="黑体" w:cs="宋体"/>
          <w:bCs/>
          <w:color w:val="auto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98425</wp:posOffset>
                </wp:positionV>
                <wp:extent cx="5511800" cy="0"/>
                <wp:effectExtent l="0" t="0" r="0" b="0"/>
                <wp:wrapNone/>
                <wp:docPr id="1" name="直接连接符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pt;margin-top:7.75pt;height:0pt;width:434pt;visibility:hidden;z-index:251659264;mso-width-relative:page;mso-height-relative:page;" filled="f" stroked="t" coordsize="21600,21600" o:gfxdata="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EfQfO0gAAAAgBAAAPAAAAAAAAAAEAIAAAACIAAABk&#10;cnMvZG93bnJldi54bWxQSwECFAAUAAAACACHTuJAEw2iydMBAAB1AwAADgAAAAAAAAABACAAAAAh&#10;AQAAZHJzL2Uyb0RvYy54bWxQSwUGAAAAAAYABgBZAQAAZgUAAAAA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</w:rPr>
        <w:t>二、评估对象</w:t>
      </w:r>
    </w:p>
    <w:p>
      <w:pPr>
        <w:widowControl/>
        <w:spacing w:line="520" w:lineRule="exact"/>
        <w:ind w:firstLine="640" w:firstLineChars="200"/>
        <w:rPr>
          <w:rFonts w:hint="eastAsia" w:ascii="黑体" w:hAnsi="黑体" w:eastAsia="仿宋_GB2312" w:cs="宋体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全区各级各类学校、直属单位</w:t>
      </w:r>
      <w:r>
        <w:rPr>
          <w:rFonts w:hint="eastAsia" w:ascii="仿宋_GB2312" w:hAnsi="宋体" w:cs="宋体"/>
          <w:color w:val="auto"/>
          <w:kern w:val="0"/>
          <w:sz w:val="32"/>
          <w:szCs w:val="32"/>
          <w:lang w:eastAsia="zh-CN"/>
        </w:rPr>
        <w:t>。</w:t>
      </w:r>
    </w:p>
    <w:p>
      <w:pPr>
        <w:widowControl/>
        <w:spacing w:line="520" w:lineRule="exact"/>
        <w:ind w:firstLine="640" w:firstLineChars="200"/>
        <w:rPr>
          <w:rFonts w:ascii="黑体" w:hAnsi="黑体" w:eastAsia="黑体" w:cs="宋体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</w:rPr>
        <w:t>三、评估内容</w:t>
      </w:r>
    </w:p>
    <w:p>
      <w:pPr>
        <w:widowControl/>
        <w:spacing w:line="520" w:lineRule="exact"/>
        <w:ind w:firstLine="643" w:firstLineChars="200"/>
        <w:rPr>
          <w:rFonts w:ascii="黑体" w:hAnsi="黑体" w:eastAsia="黑体" w:cs="宋体"/>
          <w:bCs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  <w:t>1.基础性指标（达标、未达标）——属于规定动作，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32"/>
          <w:szCs w:val="32"/>
        </w:rPr>
        <w:t>要求学校</w:t>
      </w:r>
      <w:r>
        <w:rPr>
          <w:rFonts w:hint="eastAsia" w:ascii="仿宋_GB2312" w:hAnsi="宋体" w:cs="宋体"/>
          <w:b/>
          <w:bCs/>
          <w:color w:val="auto"/>
          <w:kern w:val="0"/>
          <w:sz w:val="32"/>
          <w:szCs w:val="32"/>
          <w:lang w:eastAsia="zh-CN"/>
        </w:rPr>
        <w:t>贯彻党的教育方针，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32"/>
          <w:szCs w:val="32"/>
        </w:rPr>
        <w:t>常规工作全到位</w:t>
      </w:r>
      <w:r>
        <w:rPr>
          <w:rFonts w:hint="eastAsia" w:ascii="仿宋_GB2312" w:hAnsi="宋体" w:cs="宋体"/>
          <w:b/>
          <w:bCs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bCs/>
          <w:color w:val="auto"/>
          <w:kern w:val="0"/>
          <w:sz w:val="32"/>
          <w:szCs w:val="32"/>
        </w:rPr>
        <w:t>包括</w:t>
      </w:r>
      <w:r>
        <w:rPr>
          <w:rFonts w:hint="eastAsia" w:ascii="仿宋_GB2312" w:hAnsi="宋体" w:cs="宋体"/>
          <w:bCs/>
          <w:color w:val="auto"/>
          <w:kern w:val="0"/>
          <w:sz w:val="32"/>
          <w:szCs w:val="32"/>
          <w:lang w:eastAsia="zh-CN"/>
        </w:rPr>
        <w:t>党群工作</w:t>
      </w:r>
      <w:r>
        <w:rPr>
          <w:rFonts w:hint="eastAsia" w:ascii="仿宋_GB2312" w:hAnsi="宋体" w:eastAsia="仿宋_GB2312" w:cs="宋体"/>
          <w:bCs/>
          <w:color w:val="auto"/>
          <w:kern w:val="0"/>
          <w:sz w:val="32"/>
          <w:szCs w:val="32"/>
        </w:rPr>
        <w:t>、学校管理、师资队伍</w:t>
      </w:r>
      <w:r>
        <w:rPr>
          <w:rFonts w:hint="eastAsia" w:ascii="仿宋_GB2312" w:hAnsi="宋体" w:cs="宋体"/>
          <w:bCs/>
          <w:color w:val="auto"/>
          <w:kern w:val="0"/>
          <w:sz w:val="32"/>
          <w:szCs w:val="32"/>
          <w:lang w:eastAsia="zh-CN"/>
        </w:rPr>
        <w:t>建设</w:t>
      </w:r>
      <w:r>
        <w:rPr>
          <w:rFonts w:hint="eastAsia" w:ascii="仿宋_GB2312" w:hAnsi="宋体" w:eastAsia="仿宋_GB2312" w:cs="宋体"/>
          <w:bCs/>
          <w:color w:val="auto"/>
          <w:kern w:val="0"/>
          <w:sz w:val="32"/>
          <w:szCs w:val="32"/>
        </w:rPr>
        <w:t>、德育工作、教学工作、体卫科艺</w:t>
      </w:r>
      <w:r>
        <w:rPr>
          <w:rFonts w:hint="eastAsia" w:ascii="仿宋_GB2312" w:hAnsi="宋体" w:cs="宋体"/>
          <w:bCs/>
          <w:color w:val="auto"/>
          <w:kern w:val="0"/>
          <w:sz w:val="32"/>
          <w:szCs w:val="32"/>
          <w:lang w:eastAsia="zh-CN"/>
        </w:rPr>
        <w:t>工作</w:t>
      </w:r>
      <w:r>
        <w:rPr>
          <w:rFonts w:hint="eastAsia" w:ascii="仿宋_GB2312" w:hAnsi="宋体" w:eastAsia="仿宋_GB2312" w:cs="宋体"/>
          <w:bCs/>
          <w:color w:val="auto"/>
          <w:kern w:val="0"/>
          <w:sz w:val="32"/>
          <w:szCs w:val="32"/>
        </w:rPr>
        <w:t>等，</w:t>
      </w:r>
      <w:r>
        <w:rPr>
          <w:rFonts w:hint="eastAsia" w:ascii="仿宋_GB2312" w:hAnsi="宋体" w:cs="宋体"/>
          <w:bCs/>
          <w:color w:val="auto"/>
          <w:kern w:val="0"/>
          <w:sz w:val="32"/>
          <w:szCs w:val="32"/>
          <w:lang w:eastAsia="zh-CN"/>
        </w:rPr>
        <w:t>注重评估办学规范性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。</w:t>
      </w:r>
    </w:p>
    <w:p>
      <w:pPr>
        <w:widowControl/>
        <w:spacing w:line="520" w:lineRule="exact"/>
        <w:ind w:firstLine="643" w:firstLineChars="200"/>
        <w:rPr>
          <w:rFonts w:ascii="黑体" w:hAnsi="黑体" w:eastAsia="黑体" w:cs="宋体"/>
          <w:bCs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  <w:t>2.发展性指标</w:t>
      </w:r>
      <w:r>
        <w:rPr>
          <w:rFonts w:hint="eastAsia" w:ascii="仿宋_GB2312" w:hAnsi="宋体" w:eastAsia="仿宋_GB2312" w:cs="宋体"/>
          <w:b/>
          <w:color w:val="auto"/>
          <w:spacing w:val="-8"/>
          <w:kern w:val="0"/>
          <w:sz w:val="32"/>
          <w:szCs w:val="32"/>
        </w:rPr>
        <w:t>（得分）</w:t>
      </w: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  <w:t>——</w:t>
      </w:r>
      <w:r>
        <w:rPr>
          <w:rFonts w:hint="eastAsia" w:ascii="仿宋_GB2312" w:hAnsi="宋体" w:eastAsia="仿宋_GB2312" w:cs="宋体"/>
          <w:b/>
          <w:color w:val="auto"/>
          <w:spacing w:val="-8"/>
          <w:kern w:val="0"/>
          <w:sz w:val="32"/>
          <w:szCs w:val="32"/>
        </w:rPr>
        <w:t>属于工作成效，要求学校</w:t>
      </w:r>
      <w:r>
        <w:rPr>
          <w:rFonts w:hint="eastAsia" w:ascii="仿宋_GB2312" w:hAnsi="宋体" w:cs="宋体"/>
          <w:b/>
          <w:color w:val="auto"/>
          <w:spacing w:val="-8"/>
          <w:kern w:val="0"/>
          <w:sz w:val="32"/>
          <w:szCs w:val="32"/>
          <w:lang w:eastAsia="zh-CN"/>
        </w:rPr>
        <w:t>改革实践创新发展，教育</w:t>
      </w:r>
      <w:r>
        <w:rPr>
          <w:rFonts w:hint="eastAsia" w:ascii="仿宋_GB2312" w:hAnsi="宋体" w:eastAsia="仿宋_GB2312" w:cs="宋体"/>
          <w:b/>
          <w:color w:val="auto"/>
          <w:spacing w:val="-8"/>
          <w:kern w:val="0"/>
          <w:sz w:val="32"/>
          <w:szCs w:val="32"/>
        </w:rPr>
        <w:t>质量显成效</w:t>
      </w:r>
      <w:r>
        <w:rPr>
          <w:rFonts w:hint="eastAsia" w:ascii="仿宋_GB2312" w:hAnsi="宋体" w:cs="宋体"/>
          <w:b/>
          <w:color w:val="auto"/>
          <w:spacing w:val="-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包括学生发展指数</w:t>
      </w:r>
      <w:r>
        <w:rPr>
          <w:rFonts w:hint="eastAsia" w:ascii="仿宋_GB2312" w:hAnsi="宋体" w:cs="宋体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cs="宋体"/>
          <w:color w:val="auto"/>
          <w:kern w:val="0"/>
          <w:sz w:val="32"/>
          <w:szCs w:val="32"/>
          <w:lang w:val="en-US" w:eastAsia="zh-CN"/>
        </w:rPr>
        <w:t>50分</w:t>
      </w:r>
      <w:r>
        <w:rPr>
          <w:rFonts w:hint="eastAsia" w:ascii="仿宋_GB2312" w:hAnsi="宋体" w:cs="宋体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、教师发展指数</w:t>
      </w:r>
      <w:r>
        <w:rPr>
          <w:rFonts w:hint="eastAsia" w:ascii="仿宋_GB2312" w:hAnsi="宋体" w:cs="宋体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cs="宋体"/>
          <w:color w:val="auto"/>
          <w:kern w:val="0"/>
          <w:sz w:val="32"/>
          <w:szCs w:val="32"/>
          <w:lang w:val="en-US" w:eastAsia="zh-CN"/>
        </w:rPr>
        <w:t>14分</w:t>
      </w:r>
      <w:r>
        <w:rPr>
          <w:rFonts w:hint="eastAsia" w:ascii="仿宋_GB2312" w:hAnsi="宋体" w:cs="宋体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、学校发展指数</w:t>
      </w:r>
      <w:r>
        <w:rPr>
          <w:rFonts w:hint="eastAsia" w:ascii="仿宋_GB2312" w:hAnsi="宋体" w:cs="宋体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cs="宋体"/>
          <w:color w:val="auto"/>
          <w:kern w:val="0"/>
          <w:sz w:val="32"/>
          <w:szCs w:val="32"/>
          <w:lang w:val="en-US" w:eastAsia="zh-CN"/>
        </w:rPr>
        <w:t>25分</w:t>
      </w:r>
      <w:r>
        <w:rPr>
          <w:rFonts w:hint="eastAsia" w:ascii="仿宋_GB2312" w:hAnsi="宋体" w:cs="宋体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、各界评价</w:t>
      </w:r>
      <w:r>
        <w:rPr>
          <w:rFonts w:hint="eastAsia" w:ascii="仿宋_GB2312" w:hAnsi="宋体" w:cs="宋体"/>
          <w:color w:val="auto"/>
          <w:kern w:val="0"/>
          <w:sz w:val="32"/>
          <w:szCs w:val="32"/>
          <w:lang w:eastAsia="zh-CN"/>
        </w:rPr>
        <w:t>等（</w:t>
      </w:r>
      <w:r>
        <w:rPr>
          <w:rFonts w:hint="eastAsia" w:ascii="仿宋_GB2312" w:hAnsi="宋体" w:cs="宋体"/>
          <w:color w:val="auto"/>
          <w:kern w:val="0"/>
          <w:sz w:val="32"/>
          <w:szCs w:val="32"/>
          <w:lang w:val="en-US" w:eastAsia="zh-CN"/>
        </w:rPr>
        <w:t>11分</w:t>
      </w:r>
      <w:r>
        <w:rPr>
          <w:rFonts w:hint="eastAsia" w:ascii="仿宋_GB2312" w:hAnsi="宋体" w:cs="宋体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，</w:t>
      </w:r>
      <w:r>
        <w:rPr>
          <w:rFonts w:hint="eastAsia" w:ascii="仿宋_GB2312" w:hAnsi="宋体" w:cs="宋体"/>
          <w:color w:val="auto"/>
          <w:kern w:val="0"/>
          <w:sz w:val="32"/>
          <w:szCs w:val="32"/>
          <w:lang w:eastAsia="zh-CN"/>
        </w:rPr>
        <w:t>注重评估办学发展性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。</w:t>
      </w:r>
    </w:p>
    <w:p>
      <w:pPr>
        <w:widowControl/>
        <w:spacing w:line="520" w:lineRule="exact"/>
        <w:ind w:firstLine="643" w:firstLineChars="200"/>
        <w:rPr>
          <w:rFonts w:ascii="黑体" w:hAnsi="黑体" w:eastAsia="黑体" w:cs="宋体"/>
          <w:bCs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  <w:t>3.警戒性指标（是、否）——属于一票否决，要求学校</w:t>
      </w:r>
      <w:r>
        <w:rPr>
          <w:rFonts w:hint="eastAsia" w:ascii="仿宋_GB2312" w:hAnsi="宋体" w:cs="宋体"/>
          <w:b/>
          <w:color w:val="auto"/>
          <w:kern w:val="0"/>
          <w:sz w:val="32"/>
          <w:szCs w:val="32"/>
          <w:lang w:eastAsia="zh-CN"/>
        </w:rPr>
        <w:t>严格执行教育法律法规，</w:t>
      </w: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  <w:t>依法办学不违规</w:t>
      </w:r>
      <w:r>
        <w:rPr>
          <w:rFonts w:hint="eastAsia" w:ascii="仿宋_GB2312" w:hAnsi="宋体" w:cs="宋体"/>
          <w:b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包括党风廉政、招生收费、安全卫生、财务资产、师德师风等，任何学校不得以任何理由触碰</w:t>
      </w:r>
      <w:r>
        <w:rPr>
          <w:rFonts w:hint="eastAsia" w:ascii="仿宋_GB2312" w:hAnsi="宋体" w:cs="宋体"/>
          <w:color w:val="auto"/>
          <w:kern w:val="0"/>
          <w:sz w:val="32"/>
          <w:szCs w:val="32"/>
          <w:lang w:eastAsia="zh-CN"/>
        </w:rPr>
        <w:t>，注重评估办学严肃性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。</w:t>
      </w:r>
    </w:p>
    <w:p>
      <w:pPr>
        <w:widowControl/>
        <w:spacing w:line="520" w:lineRule="exact"/>
        <w:ind w:firstLine="640" w:firstLineChars="200"/>
        <w:rPr>
          <w:rFonts w:ascii="黑体" w:hAnsi="黑体" w:eastAsia="黑体" w:cs="宋体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</w:rPr>
        <w:t>四、评估方法</w:t>
      </w:r>
    </w:p>
    <w:p>
      <w:pPr>
        <w:widowControl/>
        <w:spacing w:line="520" w:lineRule="exact"/>
        <w:ind w:firstLine="643" w:firstLineChars="200"/>
        <w:rPr>
          <w:rFonts w:ascii="黑体" w:hAnsi="黑体" w:eastAsia="黑体" w:cs="宋体"/>
          <w:bCs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  <w:t>1．分级分类按比例综合评定</w:t>
      </w:r>
    </w:p>
    <w:p>
      <w:pPr>
        <w:widowControl/>
        <w:spacing w:line="520" w:lineRule="exact"/>
        <w:ind w:firstLine="640" w:firstLineChars="200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按照学校类型的不同共分</w:t>
      </w:r>
      <w:r>
        <w:rPr>
          <w:rFonts w:hint="eastAsia" w:ascii="仿宋_GB2312" w:hAnsi="宋体" w:cs="宋体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类</w:t>
      </w:r>
      <w:r>
        <w:rPr>
          <w:rFonts w:hint="eastAsia" w:ascii="仿宋_GB2312" w:hAnsi="宋体" w:cs="宋体"/>
          <w:color w:val="auto"/>
          <w:kern w:val="0"/>
          <w:sz w:val="32"/>
          <w:szCs w:val="32"/>
          <w:lang w:eastAsia="zh-CN"/>
        </w:rPr>
        <w:t>进行年度绩效评估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，包含公办高中、公办初中、公办九年一贯制学校、公办小学、公办幼儿园、成人学校、民办学校、民办随迁子女小学、民办幼儿园、</w:t>
      </w:r>
      <w:r>
        <w:rPr>
          <w:rFonts w:hint="eastAsia" w:ascii="仿宋_GB2312" w:hAnsi="宋体" w:cs="宋体"/>
          <w:color w:val="auto"/>
          <w:kern w:val="0"/>
          <w:sz w:val="32"/>
          <w:szCs w:val="32"/>
          <w:lang w:eastAsia="zh-CN"/>
        </w:rPr>
        <w:t>教育学院等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其他</w:t>
      </w:r>
      <w:r>
        <w:rPr>
          <w:rFonts w:hint="eastAsia" w:ascii="仿宋_GB2312" w:hAnsi="宋体" w:cs="宋体"/>
          <w:color w:val="auto"/>
          <w:kern w:val="0"/>
          <w:sz w:val="32"/>
          <w:szCs w:val="32"/>
          <w:lang w:eastAsia="zh-CN"/>
        </w:rPr>
        <w:t>教育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单位。同时根据办学基础不同，分层次、分类别按比例进行评估，</w:t>
      </w:r>
      <w:r>
        <w:rPr>
          <w:rFonts w:hint="eastAsia" w:ascii="仿宋_GB2312" w:hAnsi="宋体" w:cs="宋体"/>
          <w:strike w:val="0"/>
          <w:dstrike w:val="0"/>
          <w:color w:val="auto"/>
          <w:kern w:val="0"/>
          <w:sz w:val="32"/>
          <w:szCs w:val="32"/>
          <w:u w:val="none"/>
          <w:lang w:eastAsia="zh-CN"/>
        </w:rPr>
        <w:t>激励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各级各类学校办学积极性</w:t>
      </w:r>
      <w:r>
        <w:rPr>
          <w:rFonts w:hint="eastAsia" w:ascii="仿宋_GB2312" w:hAnsi="宋体" w:cs="宋体"/>
          <w:color w:val="auto"/>
          <w:kern w:val="0"/>
          <w:sz w:val="32"/>
          <w:szCs w:val="32"/>
          <w:lang w:eastAsia="zh-CN"/>
        </w:rPr>
        <w:t>和发展自主性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。</w:t>
      </w:r>
    </w:p>
    <w:p>
      <w:pPr>
        <w:widowControl/>
        <w:spacing w:line="520" w:lineRule="exact"/>
        <w:ind w:firstLine="643" w:firstLineChars="200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  <w:t>2．过程性评估与年度汇总相结合</w:t>
      </w:r>
    </w:p>
    <w:p>
      <w:pPr>
        <w:widowControl/>
        <w:spacing w:line="520" w:lineRule="exact"/>
        <w:ind w:firstLine="640" w:firstLineChars="200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通过日常调研、在线统计等方法，加强过程性评估；年底汇总相关材料与数据，进行综合评估。 </w:t>
      </w:r>
    </w:p>
    <w:p>
      <w:pPr>
        <w:widowControl/>
        <w:spacing w:line="520" w:lineRule="exact"/>
        <w:ind w:firstLine="643" w:firstLineChars="200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  <w:t>3．学校个体与团队捆绑评估相结合</w:t>
      </w:r>
    </w:p>
    <w:p>
      <w:pPr>
        <w:widowControl/>
        <w:spacing w:line="520" w:lineRule="exact"/>
        <w:ind w:firstLine="640" w:firstLineChars="200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基础性和警戒性指标以单位个体评估为主；在发展性指标中，对于学区化集团化办学、网格党建等项目以捆绑评估为主，促进学校协同发展、均衡发展</w:t>
      </w:r>
      <w:r>
        <w:rPr>
          <w:rFonts w:hint="eastAsia" w:ascii="仿宋_GB2312" w:hAnsi="宋体" w:cs="宋体"/>
          <w:color w:val="auto"/>
          <w:kern w:val="0"/>
          <w:sz w:val="32"/>
          <w:szCs w:val="32"/>
          <w:lang w:eastAsia="zh-CN"/>
        </w:rPr>
        <w:t>、优质发展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。</w:t>
      </w:r>
    </w:p>
    <w:p>
      <w:pPr>
        <w:widowControl/>
        <w:spacing w:line="520" w:lineRule="exact"/>
        <w:ind w:firstLine="643" w:firstLineChars="200"/>
        <w:rPr>
          <w:rFonts w:ascii="仿宋_GB2312" w:hAnsi="宋体" w:eastAsia="仿宋_GB2312" w:cs="宋体"/>
          <w:b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  <w:t>4．定性与定量评估相结合</w:t>
      </w:r>
    </w:p>
    <w:p>
      <w:pPr>
        <w:widowControl/>
        <w:spacing w:line="520" w:lineRule="exact"/>
        <w:ind w:firstLine="640" w:firstLineChars="200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基础性指标、警戒性指标以定性评估为主，促进依法规范，保障学校的基础工作和底线要求；发展性指标以定量评估为主，促进自主发展，体现学校工作绩效。</w:t>
      </w:r>
    </w:p>
    <w:p>
      <w:pPr>
        <w:widowControl/>
        <w:spacing w:line="520" w:lineRule="exact"/>
        <w:ind w:firstLine="643" w:firstLineChars="200"/>
        <w:rPr>
          <w:rFonts w:ascii="仿宋_GB2312" w:hAnsi="宋体" w:eastAsia="仿宋_GB2312" w:cs="宋体"/>
          <w:b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  <w:t>5．多级联动与多元参与相结合</w:t>
      </w:r>
    </w:p>
    <w:p>
      <w:pPr>
        <w:widowControl/>
        <w:spacing w:line="520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实行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相关领导、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科室、部门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多级联动以及相关单位、督学、家长多元参与的综合评估。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各科室、部门、条线成立考核小组，依据评估指标进行评价。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相关领导依据日常工作、学校互评、督学评价进行综合评估。全样本家长在网络平台进行满意度测评。督导室牵头组织，并汇总考核结果报局党政班子审核。</w:t>
      </w:r>
    </w:p>
    <w:p>
      <w:pPr>
        <w:widowControl/>
        <w:spacing w:line="520" w:lineRule="exact"/>
        <w:ind w:firstLine="640" w:firstLineChars="200"/>
        <w:rPr>
          <w:rFonts w:ascii="黑体" w:hAnsi="黑体" w:eastAsia="黑体" w:cs="宋体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</w:rPr>
        <w:t>五、评估结果</w:t>
      </w:r>
    </w:p>
    <w:p>
      <w:pPr>
        <w:widowControl/>
        <w:spacing w:line="520" w:lineRule="exact"/>
        <w:ind w:firstLine="643" w:firstLineChars="200"/>
        <w:rPr>
          <w:rFonts w:ascii="仿宋_GB2312" w:hAnsi="宋体" w:eastAsia="仿宋_GB2312" w:cs="宋体"/>
          <w:b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  <w:t>1．综合评定</w:t>
      </w:r>
    </w:p>
    <w:p>
      <w:pPr>
        <w:widowControl/>
        <w:spacing w:line="520" w:lineRule="exact"/>
        <w:ind w:firstLine="640" w:firstLineChars="200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学校绩效评估采用</w:t>
      </w: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  <w:t>“一依据两限定”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方式进行，</w:t>
      </w: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  <w:t>“一依据”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是依据发展性指标的得分情况，</w:t>
      </w: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  <w:t>“两限定”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是将基础性指标和警戒性指标作为限定条件。考核结果将综合各单位基础性指标达标情况、发展性指标得分情况、警戒性指标触碰情况分五个等级：优秀、先进、达标、基本达标，不达标。</w:t>
      </w:r>
    </w:p>
    <w:p>
      <w:pPr>
        <w:widowControl/>
        <w:numPr>
          <w:ilvl w:val="0"/>
          <w:numId w:val="1"/>
        </w:numPr>
        <w:spacing w:line="520" w:lineRule="exact"/>
        <w:ind w:left="640" w:leftChars="200" w:firstLine="0" w:firstLineChars="0"/>
        <w:rPr>
          <w:rFonts w:hint="eastAsia" w:ascii="仿宋" w:hAnsi="仿宋" w:eastAsia="仿宋" w:cs="仿宋"/>
          <w:b/>
          <w:bCs/>
          <w:i w:val="0"/>
          <w:caps w:val="0"/>
          <w:color w:val="171A1D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171A1D"/>
          <w:spacing w:val="0"/>
          <w:sz w:val="32"/>
          <w:szCs w:val="32"/>
          <w:shd w:val="clear" w:fill="FFFFFF"/>
        </w:rPr>
        <w:t>综合改革砺新奖</w:t>
      </w:r>
    </w:p>
    <w:p>
      <w:pPr>
        <w:widowControl/>
        <w:numPr>
          <w:ilvl w:val="0"/>
          <w:numId w:val="0"/>
        </w:numPr>
        <w:spacing w:line="52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171A1D"/>
          <w:spacing w:val="0"/>
          <w:sz w:val="32"/>
          <w:szCs w:val="32"/>
          <w:shd w:val="clear" w:fill="FFFFFF"/>
        </w:rPr>
        <w:t>对于年度工作中在某一方面取得重大成绩，但综合评定没有被评上优秀、先进的单位，设立综合改革砺新奖，鼓励学校推进教育综合改革，创建办学特色。</w:t>
      </w:r>
    </w:p>
    <w:p>
      <w:pPr>
        <w:widowControl/>
        <w:spacing w:line="520" w:lineRule="exact"/>
        <w:ind w:firstLine="643" w:firstLineChars="200"/>
        <w:rPr>
          <w:rFonts w:ascii="仿宋_GB2312" w:hAnsi="宋体" w:eastAsia="仿宋_GB2312" w:cs="宋体"/>
          <w:b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  <w:t>3．评定比例</w:t>
      </w:r>
    </w:p>
    <w:p>
      <w:pPr>
        <w:widowControl/>
        <w:spacing w:line="520" w:lineRule="exact"/>
        <w:ind w:firstLine="640" w:firstLineChars="200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cs="宋体"/>
          <w:color w:val="auto"/>
          <w:kern w:val="0"/>
          <w:sz w:val="32"/>
          <w:szCs w:val="32"/>
          <w:lang w:eastAsia="zh-CN"/>
        </w:rPr>
        <w:t>同类学校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优秀10%、先进30%、</w:t>
      </w:r>
      <w:r>
        <w:rPr>
          <w:rFonts w:hint="eastAsia" w:ascii="仿宋_GB2312" w:hAnsi="宋体" w:cs="宋体"/>
          <w:color w:val="auto"/>
          <w:kern w:val="0"/>
          <w:sz w:val="32"/>
          <w:szCs w:val="32"/>
          <w:lang w:eastAsia="zh-CN"/>
        </w:rPr>
        <w:t>综合改革砺新奖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若干。</w:t>
      </w:r>
    </w:p>
    <w:p>
      <w:pPr>
        <w:widowControl/>
        <w:spacing w:line="520" w:lineRule="exact"/>
        <w:ind w:firstLine="640" w:firstLineChars="200"/>
        <w:jc w:val="righ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widowControl/>
        <w:wordWrap w:val="0"/>
        <w:spacing w:line="520" w:lineRule="exact"/>
        <w:ind w:firstLine="640" w:firstLineChars="200"/>
        <w:jc w:val="right"/>
        <w:rPr>
          <w:rFonts w:hint="eastAsia" w:ascii="仿宋_GB2312" w:hAnsi="宋体" w:cs="宋体"/>
          <w:color w:val="auto"/>
          <w:kern w:val="0"/>
          <w:sz w:val="32"/>
          <w:szCs w:val="32"/>
          <w:lang w:val="en-US" w:eastAsia="zh-CN"/>
        </w:rPr>
      </w:pPr>
    </w:p>
    <w:p>
      <w:pPr>
        <w:widowControl/>
        <w:wordWrap w:val="0"/>
        <w:spacing w:line="520" w:lineRule="exact"/>
        <w:ind w:firstLine="640" w:firstLineChars="200"/>
        <w:jc w:val="right"/>
        <w:rPr>
          <w:rFonts w:hint="eastAsia" w:eastAsia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宋体" w:cs="宋体"/>
          <w:color w:val="auto"/>
          <w:kern w:val="0"/>
          <w:sz w:val="32"/>
          <w:szCs w:val="32"/>
          <w:lang w:val="en-US" w:eastAsia="zh-CN"/>
        </w:rPr>
        <w:t>2022年7月15日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ZWAdobeF">
    <w:panose1 w:val="00000000000000000000"/>
    <w:charset w:val="00"/>
    <w:family w:val="auto"/>
    <w:pitch w:val="default"/>
    <w:sig w:usb0="00000001" w:usb1="00000000" w:usb2="00000000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0F1E7"/>
    <w:multiLevelType w:val="singleLevel"/>
    <w:tmpl w:val="62D0F1E7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509A9"/>
    <w:rsid w:val="014A116B"/>
    <w:rsid w:val="025A04BB"/>
    <w:rsid w:val="03841302"/>
    <w:rsid w:val="093A5C01"/>
    <w:rsid w:val="0E17302F"/>
    <w:rsid w:val="0EE67607"/>
    <w:rsid w:val="19EB0A08"/>
    <w:rsid w:val="1C3A6DCC"/>
    <w:rsid w:val="1D6E335D"/>
    <w:rsid w:val="21845C73"/>
    <w:rsid w:val="27374ADA"/>
    <w:rsid w:val="2BC25F4E"/>
    <w:rsid w:val="31113182"/>
    <w:rsid w:val="345509A9"/>
    <w:rsid w:val="34B900CD"/>
    <w:rsid w:val="35026F4B"/>
    <w:rsid w:val="350B317C"/>
    <w:rsid w:val="3DE42C67"/>
    <w:rsid w:val="3E9F6B32"/>
    <w:rsid w:val="40D87931"/>
    <w:rsid w:val="48093846"/>
    <w:rsid w:val="584E4348"/>
    <w:rsid w:val="5B0D4D97"/>
    <w:rsid w:val="698D6552"/>
    <w:rsid w:val="6DDB4293"/>
    <w:rsid w:val="78E9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2022-06-21T00:53:00Z</dcterms:created>
  <dc:creator>jd</dc:creator>
  <cp:lastModifiedBy>jd</cp:lastModifiedBy>
  <dcterms:modified xsi:type="dcterms:W3CDTF">2022-07-15T05:05:24Z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DAB4533DEEE04B078BA27418FA62B058</vt:lpwstr>
  </property>
</Properties>
</file>