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年嘉定区公办高中绩效评估指标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(试行稿）</w:t>
      </w:r>
    </w:p>
    <w:tbl>
      <w:tblPr>
        <w:tblStyle w:val="5"/>
        <w:tblW w:w="1460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9"/>
        <w:gridCol w:w="1134"/>
        <w:gridCol w:w="708"/>
        <w:gridCol w:w="851"/>
        <w:gridCol w:w="7821"/>
        <w:gridCol w:w="1364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/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评价情况</w:t>
            </w:r>
          </w:p>
        </w:tc>
        <w:tc>
          <w:tcPr>
            <w:tcW w:w="78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评价要点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评价方式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达标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未达标</w:t>
            </w:r>
          </w:p>
        </w:tc>
        <w:tc>
          <w:tcPr>
            <w:tcW w:w="78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党群工作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思想引领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全面贯彻党的教育方针，坚持社会主义办学方向，落实立德树人根本任务，遵循教育规律，加强党组织在推进教育评价改革的领导，发展素质教育。突出党组织政治功能，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加强党建带工建团建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队建，做好思想政治工作和意识形态工作。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数据采集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巩固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健全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“不忘初心，牢记使命”主题教育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长效机制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开展党史学习教育，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推进“两学一做”制度化常态化，在嘉定区“教育质量提升三年行动计划”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、常态化疫情防控等工作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中发挥党组织战斗堡垒和党员先锋模范作用。持续开展社会主义核心价值观等主题宣传教育，加强意识形态“六责联动”机制建设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为党的二十大胜利召开营造良好氛围。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组织成长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实施学校领导体制改革。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做好党员发展和不合格党员处置工作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落实“三会一课”制度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加强党员日常管理和教育培训。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“比学赶超奋进‘十四五’”系列活动。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干部队伍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贯彻区教育系统干部教育培训五年规划，完善学校中层干部教育培养管理机制；做好后备干部培养。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纪律作风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抓好巡视巡察巡检发现问题整改，落实“四责协同”机制；严格执行“三重一大”制度；开展“廉洁文化教育月”活动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作风建设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年”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专项行动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共青团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落实《嘉定区中学共青团改革实施方案》，规范团员发展程序，加强高中高校学生推优一体化工作，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抓好团代会、学代会等组织工作，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落实以志愿服务及社团活动为核心的实践育人制度。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工会工作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依法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换届（新建学校一年内建立工会）；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开展和巩固教工之家建设；认真做好预决算工作；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教代会操作规范，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年内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至少召开2次教代会，落实提案制和涉及教工切身利益等重大事项票决制。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关爱教职工，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做好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保障工作；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积极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举措为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教职工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1件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实事项目。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关心退休教工，做好帮扶慰问工作；有效开展退休教工活动。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退管会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依法治校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坚持把立德树人成效作为根本标准。落实党的全面领导、坚持正确办学方向、依法治校办学、维护安全稳定，健全学校内部质量保障制度，坚决克服重智育轻德育、重分数轻素质等片面办学行为，促进学生身心健康、全面发展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日常调研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推进章程及系列配套制度建设。在推进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/>
                <w14:textFill>
                  <w14:solidFill>
                    <w14:schemeClr w14:val="tx1"/>
                  </w14:solidFill>
                </w14:textFill>
              </w:rPr>
              <w:t>十四五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发展规划过程中，根据深化新时代教育工作改革要求和学校实际发展情况，加强对学校章程和发展规划的调整与落实，促进年度目标达成。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全面落实“双减”和“五项管理”工作要求，确保工作成效，日常检查无突出问题。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基教科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德育科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三级家委会组织机构健全，落实六项工作制度；家校关系无突出问题。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日常调研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安全工作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积极参与各级各类安全创建工作，日常安全管理工作及安全隐患排查整改及时到位无缺漏，年度校园环境及安全管理工作满意度达85%以上。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评估验收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平台查询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满意度测评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教育事务服务中心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（学生事务部）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学校安防建设到位，一键报警、视频监控等技防设施设备运行正常，视频有效对接率100%。阳光午餐平台填报及时到位，完成率为100%。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严格执行财务管理制度，规范收费行为；合理编制学校预算，严格预算执行，公用经费按规定使用，项目经费做到专款专用；收支两条线的资金收入及时上缴财政安排项目。做好预算执行进度管理，杜绝年底突击花钱。每个预算项目支出率达到95%（含）以上，单位整体预算执行率达到98%以上。日常经济业务无突出问题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平台查询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计财科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教育资产与财务核算中心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全面落实家庭经济困难学生资助政策，做到应助尽助，按时、规范使用资助经费。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加强预算绩效管理，全面实施预算绩效管理各项工作。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积极配合审计工作，落实审计整改要求。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整改回访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教育事务服务中心（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审计事务部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资产管理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积极规范参与校舍、设施的修建维护工作，依据《区教育系统货物采购管理办法》《区教育系统公务用车管理实施细则》《区中小学实验室仪器设备管理规范细则》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《嘉定区教育系统固定资产管理制度》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等要求，做好校产的使用登记、添置和维修等日常管理工作。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教育资产与财务核算中心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信访稳定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信访工作领导责任制明确；无越级上访、集体上访事件。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队伍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师资管理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全面贯彻新时代教师职业行为准则，师德专业素养标准及核心指标达标，建立师德失范行为警示制度，将教师教学述评情况、家校联系情况纳入教师考核内容。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数据统计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个别抽查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专任教师持有教师资格证上岗率达到100%。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教师培训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建立每学年校本全员培训计划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，提升教师评价素养，将教育测量、教育评价等学科专业知识纳入培训范围，</w:t>
            </w: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以“十四五”培训计划为引领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，扎实推进、有效完成年度培训任务。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绩效工资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每年根据校情，动态调整和修订完善学校的绩效工资分配方案，正面引导、程序规范，坚持多劳多得、优绩优酬，重点向一线教师等人员倾斜。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分配合理，发放平稳有序，用于搞活分配的总量不低于绩效工资总量的50%，发挥激励作用；至11月份绩效工资预算执行率不低于90%。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队伍建设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完善一线学生工作机制，学校领导干部和教师积极参与学生工作；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有完善的班主任队伍阶梯培养规划，以班主任教研组建设开展分层分类培训；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配备有资质的专职心理健康教师，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制定学校心理健康教育工作团队建设方案，定期开展心理危机干预和干预培训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全面实施全员导师制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；优化家庭教育指导者队伍，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开展分层家庭教育指导培训；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落实全体教师家访制度，导师每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学期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至少全员家访一次。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日常调研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 w:firstLine="105" w:firstLineChars="5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“三全”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育人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制定学校德育工作指南实施方案，通过六大育人途径落实五大德育内容，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手机管理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开展道德素养评价，落实学生、家长、教师、社区和社会实践基地（包括研学）等有效参与评价的路径，客观记录学生品行日常表现和突出表现。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深化劳动素养评价，完善劳动教育工作机制，制定学生劳动素养评价指标，客观记录学生参与劳动实践情况，建立公示、审核制度，把劳动素养评价结果作为衡量学生全面发展的重要内容、评优评先的重要参考和毕业依据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专题教育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学校安全、环保、法治、诚信、毒品预防等专题教育无缺项；学生突发事件处置及时得当；无校园欺凌现象。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课程计划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严格落实市中小学课程计划和教材管理实施细则，开齐开足开好国家规定课程，修订完善学校课程方案和计划，落实课程计划公示制度。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平台查询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日常调研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数据统计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教学管理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强化基于课程标准的校本教研，完善教研制度，加强教研组、备课组、项目共同体等研修团队建设，促进线上线下教研有机结合和教研训有效整合，注重教学诊断与改进，提高教研工作的针对性和有效性。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健全学校教学管理机制，规范执行教学计划，不存在随意增减课时、提高难度、加快进度、违规考试管理规定等行为；</w:t>
            </w: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加强作业管理，</w:t>
            </w: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逐步完善高质量校本作业体系，用足用好各类资源，推进信息技术与课堂教学的深度融合，线上教学有效实施。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基于课程标准的教学与评价，积极变革教学方式，重视差异化教学和个别化辅导；健全学校质量保障和自我评估改进机制，形成“诊断-反馈-改进”良性循环的内部质量保障体系；健全学生综合素质评价机制，完善基于大数据的学生综合素质评价体系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规范执行市、区学籍管理规定，按时完成学籍注册、转学等管理工作。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语言文字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管理机制健全；积极参加市区级活动，组织开展校推普周活动；教师普通话达标率不低于85%。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书香校园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课外读物管理，定期自查清理；积极参加市区级师生读书活动；生均纸质图书不少于50册、学生借阅率高；馆藏纸质报刊配置不少于200种。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教育科研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科研组织和制度健全；重视科研队伍建设；正常开展各类课题申报立项工作，课题过程管理规范；开展科研活动和基于实际问题解决的“小课题”研究，校级课题研究常态化；重视科研成果推广和转化。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体卫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体育工作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落实“上海市中小学体育工作管理办法”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，加强体质健康管理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；严格执行课程计划，确保学生每天在校锻炼一小时；做好体育素养评价工作；具备场地开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条件的学校做好场地开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放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相关测试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卫生工作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规范有效做好新冠肺炎疫情防控工作，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加强睡眠管理，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加强近视眼防控、传染病防控、红十字等工作，因病缺课网络直报缺漏率不超过2%。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科技工作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年内举办科技节，内容丰富，参与面广；积极参加区青少年科创集散地等各类科技活动。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艺术工作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年内举办艺术节，内容丰富，参与面广；积极参加各类艺术研讨、培训、交流等活动。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评价情况</w:t>
            </w:r>
          </w:p>
        </w:tc>
        <w:tc>
          <w:tcPr>
            <w:tcW w:w="78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评价要点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评价方式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7821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学生发展指数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品德发展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科学设计各类德育活动或目标要求，培养学生养成良好的思想道德、心理素质和行为习惯，厚植爱国主义情怀。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问卷评估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实地评估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查阅资料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学业水平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有积极的学习态度、较强的求知欲和良好的阅读习惯，理解、掌握各学科课程标准要求的基础知识和基本技能，具备独立思考、勇于探究、敢于质疑和解决实际问题的创新能力，主动适应线上学习，学业质量整体呈优质均衡状态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质量监测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数据统计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相关调研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身心健康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学生具有良好的身体形态机能、健康的生活方式和审美修养；具备良好的行为调控能力。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数据统计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相关调研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体卫科艺科等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学习生活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品质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学生具有积极的学习品质，人际关系和谐，有一定的兴趣爱好和特长（科技等），</w:t>
            </w: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学业负担（含作业负担）和学习压力适度；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学校课程促进学生全面发展。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课堂观察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问卷调查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数据统计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个别随访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基教科等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成长增值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学生在品德发展、学业水平、身心健康、学习生活品质方面较上一年度的增长情况。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比较分析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教师发展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师德建设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师德建设措施落实，成效显著；学校教风良好。</w:t>
            </w:r>
          </w:p>
        </w:tc>
        <w:tc>
          <w:tcPr>
            <w:tcW w:w="136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平台查询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数据统计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专业成长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教师梯队建设目标明确，考核制度健全；每百名学生拥有骨干教师数超标准且学科分布相对均衡；中、高级职称教师比例有所提高。</w:t>
            </w:r>
          </w:p>
        </w:tc>
        <w:tc>
          <w:tcPr>
            <w:tcW w:w="13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105" w:firstLineChars="5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积极参与区级及以上培训项目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；有效开展系列校本培训，校本培训课程建设有成效。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推进教师流动工作；积极参与学区、集团内教师柔性流动。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根据教师获区级及以上各类教育教学评比奖项（含荣誉称号）情况评价。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科研引领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学校有引领发展的龙头课题，教师参与课题研究面广；科研骨干培养有成效，课题研究有质量；科研成果孵化推广有力度、有成效，推动教育改革发展和教育质量提高。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教学变革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教师积极变革教学方式，推进信息技术和课堂教学的深度融合，开展研究式、项目化、合作式学习，培养学生自主学习能力，重视差异化教学和个别化指导，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推动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深化新时代评价改革和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教育质量提高。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学校发展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网格党建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积极参与网格党建品牌创建和区域化党建工作，推进党组织领导的校长负责制改革。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捆绑评估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党建特色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积极打造党员工作室等特色党建品牌，认真参与党建课题研究，有效发挥党建引领作用。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创建活动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积极开展文明单位创建活动；学校文化建设达到良好；承办或参与各级各类重大宣传展示活动。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评估验收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查阅资料</w:t>
            </w: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积极创建市或区行为规范示范校，成效明显；积极开展家长学校建设，并发挥作用有成效；定期开展家庭教育指导服务和实践活动，家庭教育宣传周活动有创意；积极开展区家庭教育示范校、特色校和区心理健康教育特色校等创建；申报校级班主任工作坊星级认定，开展校级班主任基本功大赛有成效；全员导师制实施有成效；积极承办或承担各级各类德育活动任务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充分运用各种媒体进行基层党建、教育综合改革宣传，区域内辐射推广有影响力。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积极总结学校工作特色经验，嘉定教育信息报送工作成效显著。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数据统计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集团化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办学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积极承办或参与区域教育教学研讨、展示活动，参与紧密型学区化、集团化办学等综改项目，推动优质教学资源共享氛围形成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教学资源共建共享，促进成员校优质均衡发展。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捆绑评估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基教科等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数字化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贯彻落实《嘉定区教育数字化转型五年行动计划（2021年—2025年）》，有目标明确、整体系统、切实可行的数字化“十四五”发展顶层设计及实施；网络及数据管理安全规范；各类区域数字化平台使用频率高，有成效；积极参加数字化应用推进各类活动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查阅资料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过程性检查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智慧教育与考试中心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幸福课程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fill="FFFFFF"/>
              </w:rPr>
              <w:t>围绕“三童”目标，落实区域“幸福课程”年度推进计划，总结第二轮项目研究成果，积极参与幸福课程校本化实施示范校评审、幸福课程系列征集活动，有效运用幸福课程互动体验平台开展校本研修，提升教师幸福指导力。基于幸福课程理念开发符合学生发展导向的特色课程或项目，开展富有童趣的活动，探索促进学生幸福成长的途径，奠基学生幸福人生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日常调研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展示情况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办学特色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有顶层设计，与学校文化、培养目标紧密融合，符合学校实际；得到师生、社会的广泛认可，师生参与度高，年度创建成效明显。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资料查阅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各界评价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局分管领导评价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根据学校工作实绩评价，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包含根据承担区域教育重点发展项目、教育实验、重大检查任务、重大区级及以上活动等情况评价等。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检查等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街镇分管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领导评价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根据学校工作实绩评价。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街镇领导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家长评价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根据家长对学校工作满意度测评情况评价。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测评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评价情况</w:t>
            </w:r>
          </w:p>
        </w:tc>
        <w:tc>
          <w:tcPr>
            <w:tcW w:w="7821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评价要点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评价方式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821" w:type="dxa"/>
            <w:vMerge w:val="continue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戒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党风廉政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无违反政治纪律和政治规矩行为，无选人用人领域严重违规行为，无党员、教职工违纪违法行为。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日常检查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思想教育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无意识形态领域内造成不良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社会影响事件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无在校生违法犯罪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造成不良社会影响事件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招生收费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无违规招生、违规收费、违规办班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，无考试违规行为。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安全卫生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无重大校园安全责任事故。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教育事务服务中心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（学生事务部）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无重大食品安全责任事故、无重大传染病防控失误。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财物资产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无重大违规使用教育经费等问题。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教育事务服务中心（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审计事务部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无重大违规采购货物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违规使用公务车辆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、处置国有资产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等问题。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教育资产与财务核算中心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师德师风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1" w:type="dxa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无师德失范行为，未出现严重师德师风问题。</w:t>
            </w:r>
          </w:p>
        </w:tc>
        <w:tc>
          <w:tcPr>
            <w:tcW w:w="13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党群科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人事科</w:t>
            </w:r>
          </w:p>
        </w:tc>
      </w:tr>
      <w:bookmarkEnd w:id="0"/>
    </w:tbl>
    <w:p>
      <w:pPr>
        <w:rPr>
          <w:rFonts w:hint="eastAsia" w:ascii="仿宋" w:hAnsi="仿宋" w:eastAsia="仿宋" w:cs="仿宋"/>
          <w:color w:val="auto"/>
          <w:sz w:val="21"/>
          <w:szCs w:val="21"/>
        </w:rPr>
      </w:pPr>
    </w:p>
    <w:p>
      <w:pPr>
        <w:rPr>
          <w:rFonts w:ascii="黑体" w:hAnsi="黑体" w:eastAsia="黑体"/>
          <w:b/>
          <w:color w:val="auto"/>
          <w:szCs w:val="21"/>
        </w:rPr>
      </w:pPr>
      <w:r>
        <w:rPr>
          <w:rFonts w:hint="eastAsia" w:ascii="仿宋" w:hAnsi="仿宋" w:eastAsia="仿宋" w:cs="仿宋"/>
          <w:b/>
          <w:color w:val="auto"/>
          <w:sz w:val="21"/>
          <w:szCs w:val="21"/>
        </w:rPr>
        <w:t>注：学生发展指数中“品德发展”“学业水平”“身心健康”“学习生活品质”“成长增值”具体评价内容详见《嘉定区中小学教育质量评价指标体系》（试行）（2021年版）。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mFlNGVkNzI4Y2M0N2FmZjFhMDEyMDRiM2U2NTkifQ=="/>
  </w:docVars>
  <w:rsids>
    <w:rsidRoot w:val="3E1B728F"/>
    <w:rsid w:val="00847DE1"/>
    <w:rsid w:val="063A6A5F"/>
    <w:rsid w:val="105905C9"/>
    <w:rsid w:val="1FE674CC"/>
    <w:rsid w:val="30E82B1B"/>
    <w:rsid w:val="32A6048F"/>
    <w:rsid w:val="32E12612"/>
    <w:rsid w:val="36081FA4"/>
    <w:rsid w:val="37E82428"/>
    <w:rsid w:val="3E1B728F"/>
    <w:rsid w:val="54D23C53"/>
    <w:rsid w:val="5C621EFA"/>
    <w:rsid w:val="7AF6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eastAsia="宋体"/>
      <w:sz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5628</Words>
  <Characters>5676</Characters>
  <Lines>0</Lines>
  <Paragraphs>0</Paragraphs>
  <TotalTime>0</TotalTime>
  <ScaleCrop>false</ScaleCrop>
  <LinksUpToDate>false</LinksUpToDate>
  <CharactersWithSpaces>5678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2022-07-04T06:13:00Z</dcterms:created>
  <dc:creator>jd</dc:creator>
  <cp:lastModifiedBy>Administrator</cp:lastModifiedBy>
  <dcterms:modified xsi:type="dcterms:W3CDTF">2022-07-21T02:45:36Z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21DD6D2AA94640A3A54962F774E6B5B1</vt:lpwstr>
  </property>
</Properties>
</file>