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center"/>
        <w:rPr>
          <w:rFonts w:hint="eastAsia" w:ascii="方正小标宋简体" w:hAnsi="黑体" w:eastAsia="方正小标宋简体"/>
          <w:b/>
          <w:bCs/>
          <w:color w:val="000000" w:themeColor="text1"/>
          <w:kern w:val="0"/>
          <w:sz w:val="36"/>
          <w:szCs w:val="36"/>
        </w:rPr>
      </w:pPr>
      <w:r>
        <w:rPr>
          <w:rFonts w:hint="eastAsia" w:ascii="方正小标宋简体" w:hAnsi="黑体" w:eastAsia="方正小标宋简体"/>
          <w:b/>
          <w:bCs/>
          <w:color w:val="000000" w:themeColor="text1"/>
          <w:kern w:val="0"/>
          <w:sz w:val="36"/>
          <w:szCs w:val="36"/>
        </w:rPr>
        <w:t>嘉定区科技小巨人企业认定管理实施细则（试行）</w:t>
      </w:r>
    </w:p>
    <w:p>
      <w:pPr>
        <w:contextualSpacing/>
        <w:jc w:val="center"/>
        <w:rPr>
          <w:rFonts w:ascii="方正小标宋简体" w:hAnsi="黑体" w:eastAsia="方正小标宋简体"/>
          <w:b/>
          <w:bCs/>
          <w:color w:val="000000" w:themeColor="text1"/>
          <w:kern w:val="0"/>
          <w:sz w:val="36"/>
          <w:szCs w:val="36"/>
        </w:rPr>
      </w:pPr>
      <w:r>
        <w:rPr>
          <w:rFonts w:hint="eastAsia" w:ascii="方正小标宋简体" w:hAnsi="黑体" w:eastAsia="方正小标宋简体"/>
          <w:b/>
          <w:bCs/>
          <w:color w:val="000000" w:themeColor="text1"/>
          <w:kern w:val="0"/>
          <w:sz w:val="36"/>
          <w:szCs w:val="36"/>
        </w:rPr>
        <w:t>草案</w:t>
      </w:r>
    </w:p>
    <w:p>
      <w:pPr>
        <w:pStyle w:val="4"/>
        <w:shd w:val="clear" w:color="auto" w:fill="FFFFFF"/>
        <w:spacing w:before="0" w:beforeAutospacing="0" w:after="0" w:afterAutospacing="0"/>
        <w:contextualSpacing/>
        <w:jc w:val="center"/>
        <w:textAlignment w:val="baseline"/>
        <w:rPr>
          <w:rFonts w:ascii="黑体" w:hAnsi="黑体" w:eastAsia="黑体"/>
          <w:color w:val="000000" w:themeColor="text1"/>
          <w:sz w:val="32"/>
          <w:szCs w:val="32"/>
        </w:rPr>
      </w:pPr>
      <w:r>
        <w:rPr>
          <w:rFonts w:hint="eastAsia" w:ascii="黑体" w:hAnsi="黑体" w:eastAsia="黑体"/>
          <w:color w:val="000000" w:themeColor="text1"/>
          <w:sz w:val="32"/>
          <w:szCs w:val="32"/>
        </w:rPr>
        <w:t>第一章</w:t>
      </w:r>
      <w:r>
        <w:rPr>
          <w:rFonts w:hint="eastAsia" w:ascii="微软雅黑" w:hAnsi="微软雅黑" w:eastAsia="黑体"/>
          <w:color w:val="000000" w:themeColor="text1"/>
          <w:sz w:val="32"/>
          <w:szCs w:val="32"/>
        </w:rPr>
        <w:t> </w:t>
      </w:r>
      <w:r>
        <w:rPr>
          <w:rFonts w:hint="eastAsia" w:ascii="黑体" w:hAnsi="黑体" w:eastAsia="黑体"/>
          <w:color w:val="000000" w:themeColor="text1"/>
          <w:sz w:val="32"/>
          <w:szCs w:val="32"/>
        </w:rPr>
        <w:t xml:space="preserve"> </w:t>
      </w:r>
      <w:r>
        <w:rPr>
          <w:rFonts w:hint="eastAsia" w:ascii="微软雅黑" w:hAnsi="微软雅黑" w:eastAsia="黑体"/>
          <w:color w:val="000000" w:themeColor="text1"/>
          <w:sz w:val="32"/>
          <w:szCs w:val="32"/>
        </w:rPr>
        <w:t> </w:t>
      </w:r>
      <w:r>
        <w:rPr>
          <w:rFonts w:hint="eastAsia" w:ascii="黑体" w:hAnsi="黑体" w:eastAsia="黑体"/>
          <w:color w:val="000000" w:themeColor="text1"/>
          <w:sz w:val="32"/>
          <w:szCs w:val="32"/>
        </w:rPr>
        <w:t>总</w:t>
      </w:r>
      <w:r>
        <w:rPr>
          <w:rFonts w:hint="eastAsia" w:ascii="微软雅黑" w:hAnsi="微软雅黑" w:eastAsia="黑体"/>
          <w:color w:val="000000" w:themeColor="text1"/>
          <w:sz w:val="32"/>
          <w:szCs w:val="32"/>
        </w:rPr>
        <w:t> </w:t>
      </w:r>
      <w:r>
        <w:rPr>
          <w:rFonts w:hint="eastAsia" w:ascii="黑体" w:hAnsi="黑体" w:eastAsia="黑体"/>
          <w:color w:val="000000" w:themeColor="text1"/>
          <w:sz w:val="32"/>
          <w:szCs w:val="32"/>
        </w:rPr>
        <w:t xml:space="preserve"> 则</w:t>
      </w:r>
    </w:p>
    <w:p>
      <w:pPr>
        <w:pStyle w:val="4"/>
        <w:shd w:val="clear" w:color="auto" w:fill="FFFFFF"/>
        <w:spacing w:before="0" w:beforeAutospacing="0" w:after="0" w:afterAutospacing="0"/>
        <w:ind w:firstLine="607"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第一条</w:t>
      </w:r>
      <w:r>
        <w:rPr>
          <w:rFonts w:hint="eastAsia" w:ascii="微软雅黑" w:hAnsi="微软雅黑" w:eastAsia="仿宋_GB2312"/>
          <w:color w:val="000000" w:themeColor="text1"/>
          <w:sz w:val="32"/>
          <w:szCs w:val="32"/>
        </w:rPr>
        <w:t> </w:t>
      </w:r>
      <w:r>
        <w:rPr>
          <w:rFonts w:hint="eastAsia" w:ascii="仿宋_GB2312" w:hAnsi="仿宋" w:eastAsia="仿宋_GB2312"/>
          <w:color w:val="000000" w:themeColor="text1"/>
          <w:sz w:val="32"/>
          <w:szCs w:val="32"/>
        </w:rPr>
        <w:t xml:space="preserve"> 为大力实施创新驱动转型发展战略，进一步推动高新技术企业自主创新，提高企业核心竞争力，打造一批具有国内外行业竞争优势的科技小巨人企业，促进区域战略性新兴产业高质量发展，加快推进科创中心重要承载区建设，依据《上海市科技小巨人工程实施办法》和《嘉定区推进“小巨人计划”奖励办法》，结合实际，制定本实施细则。</w:t>
      </w:r>
    </w:p>
    <w:p>
      <w:pPr>
        <w:pStyle w:val="4"/>
        <w:shd w:val="clear" w:color="auto" w:fill="FFFFFF"/>
        <w:spacing w:before="0" w:beforeAutospacing="0" w:after="0" w:afterAutospacing="0"/>
        <w:ind w:firstLine="607"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第二条</w:t>
      </w:r>
      <w:r>
        <w:rPr>
          <w:rFonts w:hint="eastAsia" w:ascii="仿宋_GB2312" w:hAnsi="仿宋" w:eastAsia="仿宋_GB2312"/>
          <w:color w:val="000000" w:themeColor="text1"/>
          <w:sz w:val="32"/>
          <w:szCs w:val="32"/>
        </w:rPr>
        <w:t xml:space="preserve">  科技小巨人企业的实施对象，是指从事符合国家、本市和本区产业发展方向的高新技术领域产品开发、生产、经营和技术（工程）服务的科技型企业。其应有：较完善的企业创新体系、创新机制及与之相适应的科研投入；自主知识产权的品牌产品；一定的经济规模和良好成长性；良好的信用和较强的融资能力。其特征为创新型、规模型与示范性。</w:t>
      </w:r>
    </w:p>
    <w:p>
      <w:pPr>
        <w:pStyle w:val="4"/>
        <w:shd w:val="clear" w:color="auto" w:fill="FFFFFF"/>
        <w:spacing w:before="0" w:beforeAutospacing="0" w:after="0" w:afterAutospacing="0"/>
        <w:ind w:firstLine="607"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第三条</w:t>
      </w:r>
      <w:r>
        <w:rPr>
          <w:rFonts w:hint="eastAsia" w:ascii="仿宋_GB2312" w:hAnsi="微软雅黑" w:eastAsia="仿宋_GB2312"/>
          <w:color w:val="000000" w:themeColor="text1"/>
          <w:sz w:val="32"/>
          <w:szCs w:val="32"/>
        </w:rPr>
        <w:t xml:space="preserve"> 嘉定</w:t>
      </w:r>
      <w:r>
        <w:rPr>
          <w:rFonts w:hint="eastAsia" w:ascii="仿宋_GB2312" w:hAnsi="仿宋" w:eastAsia="仿宋_GB2312"/>
          <w:color w:val="000000" w:themeColor="text1"/>
          <w:sz w:val="32"/>
          <w:szCs w:val="32"/>
        </w:rPr>
        <w:t>区科委（以下简称“区科委”）负责区科技小巨人企业的组织申报和日常管理工作。</w:t>
      </w:r>
    </w:p>
    <w:p>
      <w:pPr>
        <w:pStyle w:val="4"/>
        <w:shd w:val="clear" w:color="auto" w:fill="FFFFFF"/>
        <w:spacing w:before="0" w:beforeAutospacing="0" w:after="0" w:afterAutospacing="0"/>
        <w:ind w:firstLine="604" w:firstLineChars="189"/>
        <w:contextualSpacing/>
        <w:jc w:val="both"/>
        <w:textAlignment w:val="baseline"/>
        <w:rPr>
          <w:rFonts w:ascii="仿宋_GB2312" w:hAnsi="仿宋" w:eastAsia="仿宋_GB2312"/>
          <w:color w:val="000000" w:themeColor="text1"/>
          <w:sz w:val="32"/>
          <w:szCs w:val="32"/>
        </w:rPr>
      </w:pPr>
    </w:p>
    <w:p>
      <w:pPr>
        <w:pStyle w:val="4"/>
        <w:shd w:val="clear" w:color="auto" w:fill="FFFFFF"/>
        <w:spacing w:before="0" w:beforeAutospacing="0" w:after="0" w:afterAutospacing="0"/>
        <w:contextualSpacing/>
        <w:jc w:val="center"/>
        <w:textAlignment w:val="baseline"/>
        <w:rPr>
          <w:rFonts w:ascii="黑体" w:hAnsi="黑体" w:eastAsia="黑体"/>
          <w:color w:val="000000" w:themeColor="text1"/>
          <w:sz w:val="32"/>
          <w:szCs w:val="32"/>
        </w:rPr>
      </w:pPr>
      <w:r>
        <w:rPr>
          <w:rStyle w:val="6"/>
          <w:rFonts w:hint="eastAsia" w:ascii="黑体" w:hAnsi="黑体" w:eastAsia="黑体"/>
          <w:b w:val="0"/>
          <w:color w:val="000000" w:themeColor="text1"/>
          <w:sz w:val="32"/>
          <w:szCs w:val="32"/>
        </w:rPr>
        <w:t>第二章</w:t>
      </w:r>
      <w:r>
        <w:rPr>
          <w:rStyle w:val="6"/>
          <w:rFonts w:hint="eastAsia" w:ascii="inherit" w:hAnsi="inherit" w:eastAsia="黑体"/>
          <w:color w:val="000000" w:themeColor="text1"/>
          <w:sz w:val="32"/>
          <w:szCs w:val="32"/>
        </w:rPr>
        <w:t>  </w:t>
      </w:r>
      <w:r>
        <w:rPr>
          <w:rFonts w:hint="eastAsia" w:ascii="微软雅黑" w:hAnsi="微软雅黑" w:eastAsia="黑体"/>
          <w:color w:val="000000" w:themeColor="text1"/>
          <w:sz w:val="32"/>
          <w:szCs w:val="32"/>
        </w:rPr>
        <w:t> </w:t>
      </w:r>
      <w:r>
        <w:rPr>
          <w:rFonts w:hint="eastAsia" w:ascii="黑体" w:hAnsi="黑体" w:eastAsia="黑体"/>
          <w:color w:val="000000" w:themeColor="text1"/>
          <w:sz w:val="32"/>
          <w:szCs w:val="32"/>
        </w:rPr>
        <w:t>支持对象与条件</w:t>
      </w:r>
    </w:p>
    <w:p>
      <w:pPr>
        <w:pStyle w:val="4"/>
        <w:shd w:val="clear" w:color="auto" w:fill="FFFFFF"/>
        <w:spacing w:before="0" w:beforeAutospacing="0" w:after="0" w:afterAutospacing="0"/>
        <w:ind w:firstLine="607" w:firstLineChars="189"/>
        <w:contextualSpacing/>
        <w:jc w:val="both"/>
        <w:textAlignment w:val="baseline"/>
        <w:rPr>
          <w:rFonts w:ascii="仿宋_GB2312" w:eastAsia="仿宋_GB2312"/>
          <w:sz w:val="32"/>
          <w:szCs w:val="32"/>
        </w:rPr>
      </w:pPr>
      <w:r>
        <w:rPr>
          <w:rFonts w:hint="eastAsia" w:ascii="仿宋_GB2312" w:hAnsi="仿宋" w:eastAsia="仿宋_GB2312"/>
          <w:b/>
          <w:color w:val="000000" w:themeColor="text1"/>
          <w:sz w:val="32"/>
          <w:szCs w:val="32"/>
        </w:rPr>
        <w:t>第四条</w:t>
      </w:r>
      <w:r>
        <w:rPr>
          <w:rFonts w:hint="eastAsia" w:ascii="微软雅黑" w:hAnsi="微软雅黑" w:eastAsia="仿宋_GB2312"/>
          <w:color w:val="000000" w:themeColor="text1"/>
          <w:sz w:val="32"/>
          <w:szCs w:val="32"/>
        </w:rPr>
        <w:t> </w:t>
      </w:r>
      <w:r>
        <w:rPr>
          <w:rFonts w:hint="eastAsia" w:ascii="仿宋_GB2312" w:hAnsi="仿宋" w:eastAsia="仿宋_GB2312"/>
          <w:color w:val="000000" w:themeColor="text1"/>
          <w:sz w:val="32"/>
          <w:szCs w:val="32"/>
        </w:rPr>
        <w:t xml:space="preserve"> 在本区工商注册并纳税、具有独立法人资格，经认定的高新技术企业。</w:t>
      </w:r>
    </w:p>
    <w:p>
      <w:pPr>
        <w:pStyle w:val="4"/>
        <w:shd w:val="clear" w:color="auto" w:fill="FFFFFF"/>
        <w:spacing w:before="0" w:beforeAutospacing="0" w:after="0" w:afterAutospacing="0"/>
        <w:ind w:firstLine="607"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 xml:space="preserve">第五条 </w:t>
      </w:r>
      <w:r>
        <w:rPr>
          <w:rFonts w:hint="eastAsia" w:ascii="微软雅黑" w:hAnsi="微软雅黑" w:eastAsia="仿宋_GB2312"/>
          <w:color w:val="000000" w:themeColor="text1"/>
          <w:sz w:val="32"/>
          <w:szCs w:val="32"/>
        </w:rPr>
        <w:t> </w:t>
      </w:r>
      <w:r>
        <w:rPr>
          <w:rFonts w:hint="eastAsia" w:ascii="仿宋_GB2312" w:hAnsi="仿宋" w:eastAsia="仿宋_GB2312"/>
          <w:color w:val="000000" w:themeColor="text1"/>
          <w:sz w:val="32"/>
          <w:szCs w:val="32"/>
        </w:rPr>
        <w:t>申请嘉定区科技小巨人企业应满足以下主要条件</w:t>
      </w:r>
    </w:p>
    <w:p>
      <w:pPr>
        <w:pStyle w:val="4"/>
        <w:shd w:val="clear" w:color="auto" w:fill="FFFFFF"/>
        <w:spacing w:before="0" w:beforeAutospacing="0" w:after="0" w:afterAutospacing="0"/>
        <w:ind w:firstLine="604"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（一）制造类企业的研发人员人数不低于企业当年职工总数的10%，软件或科技服务类企业的研发人员人数不低于企业当年职工总数的30%；</w:t>
      </w:r>
    </w:p>
    <w:p>
      <w:pPr>
        <w:pStyle w:val="4"/>
        <w:shd w:val="clear" w:color="auto" w:fill="FFFFFF"/>
        <w:spacing w:before="0" w:beforeAutospacing="0" w:after="0" w:afterAutospacing="0"/>
        <w:ind w:firstLine="604"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（二）企业近三个会计年度的研究开发费用总额占主营业务收入总额的比例不低于5%；</w:t>
      </w:r>
    </w:p>
    <w:p>
      <w:pPr>
        <w:pStyle w:val="4"/>
        <w:shd w:val="clear" w:color="auto" w:fill="FFFFFF"/>
        <w:spacing w:before="0" w:beforeAutospacing="0" w:after="0" w:afterAutospacing="0"/>
        <w:ind w:firstLine="604"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（三）制造类企业上年度主营业务收入在3000万元至10亿元之间，软件或科技服务类企业上年度主营业务收入在2000万元至10亿元之间；且企业前三年主营业务收入或净利润的平均增长率在20％以上；</w:t>
      </w:r>
    </w:p>
    <w:p>
      <w:pPr>
        <w:pStyle w:val="4"/>
        <w:shd w:val="clear" w:color="auto" w:fill="FFFFFF"/>
        <w:spacing w:before="0" w:beforeAutospacing="0" w:after="0" w:afterAutospacing="0"/>
        <w:ind w:firstLine="604"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（四）企业有强健的经营管理团队，健全的财务制度，较强的市场应变能力，灵活的激励机制；</w:t>
      </w:r>
    </w:p>
    <w:p>
      <w:pPr>
        <w:pStyle w:val="4"/>
        <w:shd w:val="clear" w:color="auto" w:fill="FFFFFF"/>
        <w:spacing w:before="0" w:beforeAutospacing="0" w:after="0" w:afterAutospacing="0"/>
        <w:ind w:firstLine="604"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（五）</w:t>
      </w:r>
      <w:r>
        <w:rPr>
          <w:rFonts w:hint="eastAsia" w:ascii="仿宋_GB2312" w:eastAsia="仿宋_GB2312"/>
          <w:sz w:val="32"/>
          <w:szCs w:val="32"/>
        </w:rPr>
        <w:t>已获得上海市科技小巨人企业、上海市科技小巨人培育企业立项的，不可再申请区科技小巨人企业。</w:t>
      </w:r>
    </w:p>
    <w:p>
      <w:pPr>
        <w:pStyle w:val="4"/>
        <w:shd w:val="clear" w:color="auto" w:fill="FFFFFF"/>
        <w:spacing w:before="0" w:beforeAutospacing="0" w:after="0" w:afterAutospacing="0"/>
        <w:ind w:firstLine="604"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嘉定区科技小巨人企业申报条件如有调整，以当年的申报通知为准。</w:t>
      </w:r>
    </w:p>
    <w:p>
      <w:pPr>
        <w:pStyle w:val="4"/>
        <w:shd w:val="clear" w:color="auto" w:fill="FFFFFF"/>
        <w:spacing w:before="0" w:beforeAutospacing="0" w:after="0" w:afterAutospacing="0"/>
        <w:ind w:firstLine="604" w:firstLineChars="189"/>
        <w:contextualSpacing/>
        <w:jc w:val="both"/>
        <w:textAlignment w:val="baseline"/>
        <w:rPr>
          <w:rFonts w:ascii="仿宋_GB2312" w:hAnsi="仿宋" w:eastAsia="仿宋_GB2312"/>
          <w:color w:val="000000" w:themeColor="text1"/>
          <w:sz w:val="32"/>
          <w:szCs w:val="32"/>
        </w:rPr>
      </w:pPr>
    </w:p>
    <w:p>
      <w:pPr>
        <w:pStyle w:val="4"/>
        <w:shd w:val="clear" w:color="auto" w:fill="FFFFFF"/>
        <w:spacing w:before="0" w:beforeAutospacing="0" w:after="0" w:afterAutospacing="0"/>
        <w:contextualSpacing/>
        <w:jc w:val="center"/>
        <w:textAlignment w:val="baseline"/>
        <w:rPr>
          <w:rFonts w:ascii="黑体" w:hAnsi="黑体" w:eastAsia="黑体"/>
          <w:color w:val="000000" w:themeColor="text1"/>
          <w:sz w:val="32"/>
          <w:szCs w:val="32"/>
        </w:rPr>
      </w:pPr>
      <w:r>
        <w:rPr>
          <w:rFonts w:hint="eastAsia" w:ascii="黑体" w:hAnsi="黑体" w:eastAsia="黑体"/>
          <w:color w:val="000000" w:themeColor="text1"/>
          <w:sz w:val="32"/>
          <w:szCs w:val="32"/>
        </w:rPr>
        <w:t>第三章</w:t>
      </w:r>
      <w:r>
        <w:rPr>
          <w:rFonts w:hint="eastAsia" w:ascii="微软雅黑" w:hAnsi="微软雅黑" w:eastAsia="黑体"/>
          <w:color w:val="000000" w:themeColor="text1"/>
          <w:sz w:val="32"/>
          <w:szCs w:val="32"/>
        </w:rPr>
        <w:t> </w:t>
      </w:r>
      <w:r>
        <w:rPr>
          <w:rFonts w:hint="eastAsia" w:ascii="黑体" w:hAnsi="黑体" w:eastAsia="黑体"/>
          <w:color w:val="000000" w:themeColor="text1"/>
          <w:sz w:val="32"/>
          <w:szCs w:val="32"/>
        </w:rPr>
        <w:t xml:space="preserve"> </w:t>
      </w:r>
      <w:r>
        <w:rPr>
          <w:rFonts w:hint="eastAsia" w:ascii="微软雅黑" w:hAnsi="微软雅黑" w:eastAsia="黑体"/>
          <w:color w:val="000000" w:themeColor="text1"/>
          <w:sz w:val="32"/>
          <w:szCs w:val="32"/>
        </w:rPr>
        <w:t> </w:t>
      </w:r>
      <w:r>
        <w:rPr>
          <w:rFonts w:hint="eastAsia" w:ascii="黑体" w:hAnsi="黑体" w:eastAsia="黑体"/>
          <w:color w:val="000000" w:themeColor="text1"/>
          <w:sz w:val="32"/>
          <w:szCs w:val="32"/>
        </w:rPr>
        <w:t>支持方式</w:t>
      </w:r>
    </w:p>
    <w:p>
      <w:pPr>
        <w:pStyle w:val="4"/>
        <w:shd w:val="clear" w:color="auto" w:fill="FFFFFF"/>
        <w:spacing w:before="0" w:beforeAutospacing="0" w:after="0" w:afterAutospacing="0"/>
        <w:ind w:firstLine="607"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第六条</w:t>
      </w:r>
      <w:r>
        <w:rPr>
          <w:rFonts w:hint="eastAsia" w:ascii="微软雅黑" w:hAnsi="微软雅黑" w:eastAsia="仿宋_GB2312"/>
          <w:color w:val="000000" w:themeColor="text1"/>
          <w:sz w:val="32"/>
          <w:szCs w:val="32"/>
        </w:rPr>
        <w:t> </w:t>
      </w:r>
      <w:r>
        <w:rPr>
          <w:rFonts w:hint="eastAsia" w:ascii="仿宋_GB2312" w:hAnsi="仿宋" w:eastAsia="仿宋_GB2312"/>
          <w:color w:val="000000" w:themeColor="text1"/>
          <w:sz w:val="32"/>
          <w:szCs w:val="32"/>
        </w:rPr>
        <w:t>嘉定区科技小巨人企业认定后，按照《嘉定区推进“小巨人计划”奖励办法》给予资金奖励。奖励资金主要用于企业的自主创新建设，如技术攻关、知识产权保护、技术成果转化、研发中心建设、科技人才培养等企业创新活动的补贴。</w:t>
      </w:r>
    </w:p>
    <w:p>
      <w:pPr>
        <w:pStyle w:val="4"/>
        <w:shd w:val="clear" w:color="auto" w:fill="FFFFFF"/>
        <w:spacing w:before="0" w:beforeAutospacing="0" w:after="0" w:afterAutospacing="0"/>
        <w:contextualSpacing/>
        <w:jc w:val="center"/>
        <w:textAlignment w:val="baseline"/>
        <w:rPr>
          <w:rFonts w:ascii="仿宋_GB2312" w:hAnsi="黑体" w:eastAsia="仿宋_GB2312"/>
          <w:color w:val="000000" w:themeColor="text1"/>
          <w:sz w:val="32"/>
          <w:szCs w:val="32"/>
        </w:rPr>
      </w:pPr>
    </w:p>
    <w:p>
      <w:pPr>
        <w:pStyle w:val="4"/>
        <w:shd w:val="clear" w:color="auto" w:fill="FFFFFF"/>
        <w:spacing w:before="0" w:beforeAutospacing="0" w:after="0" w:afterAutospacing="0"/>
        <w:contextualSpacing/>
        <w:jc w:val="center"/>
        <w:textAlignment w:val="baseline"/>
        <w:rPr>
          <w:rFonts w:ascii="黑体" w:hAnsi="黑体" w:eastAsia="黑体"/>
          <w:color w:val="000000" w:themeColor="text1"/>
          <w:sz w:val="32"/>
          <w:szCs w:val="32"/>
        </w:rPr>
      </w:pPr>
      <w:r>
        <w:rPr>
          <w:rFonts w:hint="eastAsia" w:ascii="黑体" w:hAnsi="黑体" w:eastAsia="黑体"/>
          <w:color w:val="000000" w:themeColor="text1"/>
          <w:sz w:val="32"/>
          <w:szCs w:val="32"/>
        </w:rPr>
        <w:t>第四章</w:t>
      </w:r>
      <w:r>
        <w:rPr>
          <w:rFonts w:hint="eastAsia" w:ascii="微软雅黑" w:hAnsi="微软雅黑" w:eastAsia="黑体"/>
          <w:color w:val="000000" w:themeColor="text1"/>
          <w:sz w:val="32"/>
          <w:szCs w:val="32"/>
        </w:rPr>
        <w:t> </w:t>
      </w:r>
      <w:r>
        <w:rPr>
          <w:rFonts w:hint="eastAsia" w:ascii="黑体" w:hAnsi="黑体" w:eastAsia="黑体"/>
          <w:color w:val="000000" w:themeColor="text1"/>
          <w:sz w:val="32"/>
          <w:szCs w:val="32"/>
        </w:rPr>
        <w:t xml:space="preserve"> </w:t>
      </w:r>
      <w:r>
        <w:rPr>
          <w:rFonts w:hint="eastAsia" w:ascii="微软雅黑" w:hAnsi="微软雅黑" w:eastAsia="黑体"/>
          <w:color w:val="000000" w:themeColor="text1"/>
          <w:sz w:val="32"/>
          <w:szCs w:val="32"/>
        </w:rPr>
        <w:t> </w:t>
      </w:r>
      <w:r>
        <w:rPr>
          <w:rFonts w:hint="eastAsia" w:ascii="黑体" w:hAnsi="黑体" w:eastAsia="黑体"/>
          <w:color w:val="000000" w:themeColor="text1"/>
          <w:sz w:val="32"/>
          <w:szCs w:val="32"/>
        </w:rPr>
        <w:t>申请与受理</w:t>
      </w:r>
    </w:p>
    <w:p>
      <w:pPr>
        <w:pStyle w:val="4"/>
        <w:shd w:val="clear" w:color="auto" w:fill="FFFFFF"/>
        <w:spacing w:before="0" w:beforeAutospacing="0" w:after="0" w:afterAutospacing="0"/>
        <w:ind w:firstLine="607"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第七条</w:t>
      </w:r>
      <w:r>
        <w:rPr>
          <w:rFonts w:hint="eastAsia" w:ascii="微软雅黑" w:hAnsi="微软雅黑" w:eastAsia="仿宋_GB2312"/>
          <w:color w:val="000000" w:themeColor="text1"/>
          <w:sz w:val="32"/>
          <w:szCs w:val="32"/>
        </w:rPr>
        <w:t xml:space="preserve">  </w:t>
      </w:r>
      <w:r>
        <w:rPr>
          <w:rFonts w:hint="eastAsia" w:ascii="仿宋_GB2312" w:hAnsi="仿宋" w:eastAsia="仿宋_GB2312"/>
          <w:color w:val="000000" w:themeColor="text1"/>
          <w:sz w:val="32"/>
          <w:szCs w:val="32"/>
        </w:rPr>
        <w:t>嘉定区科技小巨人企业与上海市科技小巨人（培育）企业申报工作同步实施，区科委每年度向社会公开发布申报通知，企业在申报上海市科技小巨人企业或科技小巨人培育企业时已默认申报嘉定区科技小巨人企业。</w:t>
      </w:r>
    </w:p>
    <w:p>
      <w:pPr>
        <w:ind w:firstLine="645"/>
        <w:rPr>
          <w:rFonts w:ascii="仿宋_GB2312" w:eastAsia="仿宋_GB2312"/>
          <w:sz w:val="32"/>
          <w:szCs w:val="32"/>
        </w:rPr>
      </w:pPr>
      <w:r>
        <w:rPr>
          <w:rFonts w:hint="eastAsia" w:ascii="仿宋_GB2312" w:hAnsi="仿宋" w:eastAsia="仿宋_GB2312"/>
          <w:b/>
          <w:color w:val="000000" w:themeColor="text1"/>
          <w:sz w:val="32"/>
          <w:szCs w:val="32"/>
        </w:rPr>
        <w:t xml:space="preserve">第八条  </w:t>
      </w:r>
      <w:r>
        <w:rPr>
          <w:rFonts w:hint="eastAsia" w:ascii="仿宋_GB2312" w:hAnsi="仿宋" w:eastAsia="仿宋_GB2312"/>
          <w:color w:val="000000" w:themeColor="text1"/>
          <w:sz w:val="32"/>
          <w:szCs w:val="32"/>
        </w:rPr>
        <w:t>企业</w:t>
      </w:r>
      <w:r>
        <w:rPr>
          <w:rFonts w:hint="eastAsia" w:ascii="仿宋_GB2312" w:eastAsia="仿宋_GB2312"/>
          <w:sz w:val="32"/>
          <w:szCs w:val="32"/>
        </w:rPr>
        <w:t>通过“中国上海”门户网站“一网通办”“利企服务”进入“上海市财政科技投入信息管理平台”，按系统提示在线填写、提交申报书，并在线打印书面材料（非由申报系统在线打印的书面材料，或书面材料与网上填报材料不一致的，不予受理）</w:t>
      </w:r>
    </w:p>
    <w:p>
      <w:pPr>
        <w:pStyle w:val="4"/>
        <w:shd w:val="clear" w:color="auto" w:fill="FFFFFF"/>
        <w:spacing w:before="0" w:beforeAutospacing="0" w:after="0" w:afterAutospacing="0"/>
        <w:ind w:firstLine="607"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第九条</w:t>
      </w:r>
      <w:r>
        <w:rPr>
          <w:rFonts w:hint="eastAsia" w:ascii="仿宋_GB2312" w:hAnsi="仿宋" w:eastAsia="仿宋_GB2312"/>
          <w:color w:val="000000" w:themeColor="text1"/>
          <w:sz w:val="32"/>
          <w:szCs w:val="32"/>
        </w:rPr>
        <w:t xml:space="preserve"> 企业网上申报成功后，将申报材料一式两份送至嘉定创新创业大厦服务窗口。申报企业应对所提供材料的真实性、完整性、有效性和合法性负责。</w:t>
      </w:r>
    </w:p>
    <w:p>
      <w:pPr>
        <w:pStyle w:val="4"/>
        <w:shd w:val="clear" w:color="auto" w:fill="FFFFFF"/>
        <w:spacing w:before="0" w:beforeAutospacing="0" w:after="0" w:afterAutospacing="0"/>
        <w:ind w:firstLine="604"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申报材料：</w:t>
      </w:r>
    </w:p>
    <w:p>
      <w:pPr>
        <w:pStyle w:val="4"/>
        <w:shd w:val="clear" w:color="auto" w:fill="FFFFFF"/>
        <w:spacing w:before="0" w:beforeAutospacing="0" w:after="0" w:afterAutospacing="0"/>
        <w:ind w:firstLine="604"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1、科技小巨人（培育）企业申请书（盖章签字）；</w:t>
      </w:r>
    </w:p>
    <w:p>
      <w:pPr>
        <w:pStyle w:val="4"/>
        <w:shd w:val="clear" w:color="auto" w:fill="FFFFFF"/>
        <w:spacing w:before="0" w:beforeAutospacing="0" w:after="0" w:afterAutospacing="0"/>
        <w:ind w:firstLine="604"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2、有效期内的高新技术企业资格证书（复印件）；</w:t>
      </w:r>
    </w:p>
    <w:p>
      <w:pPr>
        <w:pStyle w:val="4"/>
        <w:shd w:val="clear" w:color="auto" w:fill="FFFFFF"/>
        <w:spacing w:before="0" w:beforeAutospacing="0" w:after="0" w:afterAutospacing="0"/>
        <w:ind w:firstLine="604"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3、涉及特殊行业的，需提供相关许可证（复印件）；</w:t>
      </w:r>
    </w:p>
    <w:p>
      <w:pPr>
        <w:pStyle w:val="4"/>
        <w:shd w:val="clear" w:color="auto" w:fill="FFFFFF"/>
        <w:spacing w:before="0" w:beforeAutospacing="0" w:after="0" w:afterAutospacing="0"/>
        <w:ind w:firstLine="604"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4、近三个会计年度企业审计报告复印件（需上传原件）；</w:t>
      </w:r>
    </w:p>
    <w:p>
      <w:pPr>
        <w:pStyle w:val="4"/>
        <w:shd w:val="clear" w:color="auto" w:fill="FFFFFF"/>
        <w:spacing w:before="0" w:beforeAutospacing="0" w:after="0" w:afterAutospacing="0"/>
        <w:ind w:firstLine="604"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5、财务及相关规范化管理制度；</w:t>
      </w:r>
    </w:p>
    <w:p>
      <w:pPr>
        <w:pStyle w:val="4"/>
        <w:shd w:val="clear" w:color="auto" w:fill="FFFFFF"/>
        <w:spacing w:before="0" w:beforeAutospacing="0" w:after="0" w:afterAutospacing="0"/>
        <w:ind w:firstLine="604"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6、企业认为需要提供的其他证明材料。</w:t>
      </w:r>
    </w:p>
    <w:p>
      <w:pPr>
        <w:pStyle w:val="4"/>
        <w:shd w:val="clear" w:color="auto" w:fill="FFFFFF"/>
        <w:spacing w:before="0" w:beforeAutospacing="0" w:after="0" w:afterAutospacing="0"/>
        <w:ind w:firstLine="604" w:firstLineChars="189"/>
        <w:contextualSpacing/>
        <w:jc w:val="both"/>
        <w:textAlignment w:val="baseline"/>
        <w:rPr>
          <w:rFonts w:ascii="仿宋_GB2312" w:hAnsi="仿宋" w:eastAsia="仿宋_GB2312"/>
          <w:color w:val="000000" w:themeColor="text1"/>
          <w:sz w:val="32"/>
          <w:szCs w:val="32"/>
        </w:rPr>
      </w:pPr>
    </w:p>
    <w:p>
      <w:pPr>
        <w:pStyle w:val="4"/>
        <w:shd w:val="clear" w:color="auto" w:fill="FFFFFF"/>
        <w:spacing w:before="0" w:beforeAutospacing="0" w:after="0" w:afterAutospacing="0"/>
        <w:contextualSpacing/>
        <w:jc w:val="center"/>
        <w:textAlignment w:val="baseline"/>
        <w:rPr>
          <w:rFonts w:ascii="黑体" w:hAnsi="黑体" w:eastAsia="黑体"/>
          <w:color w:val="000000" w:themeColor="text1"/>
          <w:sz w:val="32"/>
          <w:szCs w:val="32"/>
        </w:rPr>
      </w:pPr>
      <w:r>
        <w:rPr>
          <w:rFonts w:hint="eastAsia" w:ascii="黑体" w:hAnsi="黑体" w:eastAsia="黑体"/>
          <w:color w:val="000000" w:themeColor="text1"/>
          <w:sz w:val="32"/>
          <w:szCs w:val="32"/>
        </w:rPr>
        <w:t>第五章</w:t>
      </w:r>
      <w:r>
        <w:rPr>
          <w:rFonts w:hint="eastAsia" w:ascii="微软雅黑" w:hAnsi="微软雅黑" w:eastAsia="黑体"/>
          <w:color w:val="000000" w:themeColor="text1"/>
          <w:sz w:val="32"/>
          <w:szCs w:val="32"/>
        </w:rPr>
        <w:t> </w:t>
      </w:r>
      <w:r>
        <w:rPr>
          <w:rFonts w:hint="eastAsia" w:ascii="黑体" w:hAnsi="黑体" w:eastAsia="黑体"/>
          <w:color w:val="000000" w:themeColor="text1"/>
          <w:sz w:val="32"/>
          <w:szCs w:val="32"/>
        </w:rPr>
        <w:t xml:space="preserve"> </w:t>
      </w:r>
      <w:r>
        <w:rPr>
          <w:rFonts w:hint="eastAsia" w:ascii="微软雅黑" w:hAnsi="微软雅黑" w:eastAsia="黑体"/>
          <w:color w:val="000000" w:themeColor="text1"/>
          <w:sz w:val="32"/>
          <w:szCs w:val="32"/>
        </w:rPr>
        <w:t> </w:t>
      </w:r>
      <w:r>
        <w:rPr>
          <w:rFonts w:hint="eastAsia" w:ascii="黑体" w:hAnsi="黑体" w:eastAsia="黑体"/>
          <w:color w:val="000000" w:themeColor="text1"/>
          <w:sz w:val="32"/>
          <w:szCs w:val="32"/>
        </w:rPr>
        <w:t>评审与认定</w:t>
      </w:r>
    </w:p>
    <w:p>
      <w:pPr>
        <w:pStyle w:val="4"/>
        <w:shd w:val="clear" w:color="auto" w:fill="FFFFFF"/>
        <w:spacing w:before="0" w:beforeAutospacing="0" w:after="0" w:afterAutospacing="0"/>
        <w:ind w:firstLine="607"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 xml:space="preserve">第九条 </w:t>
      </w:r>
      <w:r>
        <w:rPr>
          <w:rFonts w:hint="eastAsia" w:ascii="仿宋_GB2312" w:hAnsi="仿宋" w:eastAsia="仿宋_GB2312"/>
          <w:color w:val="000000" w:themeColor="text1"/>
          <w:sz w:val="32"/>
          <w:szCs w:val="32"/>
        </w:rPr>
        <w:t>评审工作贯彻公开、公平、公正原则。区科技小巨人企业由区科委组织专家评审，由不少于三位专家组成专家组，专家选取按照《嘉定区科委科技和信息化项目评审专家库管理实施细则》执行。专家根据评审标准对申报企业进行评分。根据专家组评审意见确定拟认定企业名单。</w:t>
      </w:r>
    </w:p>
    <w:p>
      <w:pPr>
        <w:pStyle w:val="4"/>
        <w:shd w:val="clear" w:color="auto" w:fill="FFFFFF"/>
        <w:spacing w:before="0" w:beforeAutospacing="0" w:after="0" w:afterAutospacing="0"/>
        <w:ind w:firstLine="607" w:firstLineChars="189"/>
        <w:contextualSpacing/>
        <w:jc w:val="both"/>
        <w:textAlignment w:val="baseline"/>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 xml:space="preserve">第十条 </w:t>
      </w:r>
      <w:r>
        <w:rPr>
          <w:rFonts w:hint="eastAsia" w:ascii="微软雅黑" w:hAnsi="微软雅黑" w:eastAsia="仿宋_GB2312"/>
          <w:color w:val="000000" w:themeColor="text1"/>
          <w:sz w:val="32"/>
          <w:szCs w:val="32"/>
        </w:rPr>
        <w:t> </w:t>
      </w:r>
      <w:r>
        <w:rPr>
          <w:rFonts w:hint="eastAsia" w:ascii="仿宋_GB2312" w:hAnsi="仿宋" w:eastAsia="仿宋_GB2312"/>
          <w:color w:val="000000" w:themeColor="text1"/>
          <w:sz w:val="32"/>
          <w:szCs w:val="32"/>
        </w:rPr>
        <w:t>拟认定企业名单通过“嘉定科技博览网”予以公示，公示期为7个工作日。经公示没有异议的，区科委予以发文认定；对有异议的项目进行复核审查，情况属实的取消认定资格。</w:t>
      </w:r>
    </w:p>
    <w:p>
      <w:pPr>
        <w:pStyle w:val="4"/>
        <w:shd w:val="clear" w:color="auto" w:fill="FFFFFF"/>
        <w:spacing w:before="0" w:beforeAutospacing="0" w:after="0" w:afterAutospacing="0"/>
        <w:ind w:firstLine="604" w:firstLineChars="189"/>
        <w:contextualSpacing/>
        <w:jc w:val="both"/>
        <w:textAlignment w:val="baseline"/>
        <w:rPr>
          <w:rFonts w:ascii="仿宋_GB2312" w:hAnsi="仿宋" w:eastAsia="仿宋_GB2312"/>
          <w:color w:val="000000" w:themeColor="text1"/>
          <w:sz w:val="32"/>
          <w:szCs w:val="32"/>
        </w:rPr>
      </w:pPr>
    </w:p>
    <w:p>
      <w:pPr>
        <w:jc w:val="center"/>
        <w:rPr>
          <w:rFonts w:ascii="黑体" w:hAnsi="黑体" w:eastAsia="黑体"/>
          <w:sz w:val="32"/>
          <w:szCs w:val="32"/>
        </w:rPr>
      </w:pPr>
      <w:r>
        <w:rPr>
          <w:rFonts w:hint="eastAsia" w:ascii="黑体" w:hAnsi="黑体" w:eastAsia="黑体"/>
          <w:sz w:val="32"/>
          <w:szCs w:val="32"/>
        </w:rPr>
        <w:t>第六章</w:t>
      </w:r>
      <w:r>
        <w:rPr>
          <w:rFonts w:hint="eastAsia" w:eastAsia="黑体"/>
          <w:sz w:val="32"/>
          <w:szCs w:val="32"/>
        </w:rPr>
        <w:t> </w:t>
      </w:r>
      <w:r>
        <w:rPr>
          <w:rFonts w:hint="eastAsia" w:ascii="黑体" w:hAnsi="黑体" w:eastAsia="黑体"/>
          <w:sz w:val="32"/>
          <w:szCs w:val="32"/>
        </w:rPr>
        <w:t xml:space="preserve"> 监督管理</w:t>
      </w:r>
    </w:p>
    <w:p>
      <w:pPr>
        <w:rPr>
          <w:rFonts w:ascii="仿宋_GB2312" w:eastAsia="仿宋_GB2312"/>
          <w:sz w:val="32"/>
          <w:szCs w:val="32"/>
        </w:rPr>
      </w:pPr>
      <w:r>
        <w:rPr>
          <w:rFonts w:hint="eastAsia" w:ascii="仿宋_GB2312" w:eastAsia="仿宋_GB2312"/>
          <w:sz w:val="32"/>
          <w:szCs w:val="32"/>
        </w:rPr>
        <w:t xml:space="preserve">　 </w:t>
      </w:r>
      <w:r>
        <w:rPr>
          <w:rFonts w:hint="eastAsia" w:ascii="仿宋_GB2312" w:hAnsi="仿宋" w:eastAsia="仿宋_GB2312"/>
          <w:b/>
          <w:color w:val="000000" w:themeColor="text1"/>
          <w:sz w:val="32"/>
          <w:szCs w:val="32"/>
        </w:rPr>
        <w:t>第十一条</w:t>
      </w:r>
      <w:r>
        <w:rPr>
          <w:rFonts w:hint="eastAsia" w:ascii="仿宋_GB2312" w:eastAsia="仿宋_GB2312"/>
          <w:sz w:val="32"/>
          <w:szCs w:val="32"/>
        </w:rPr>
        <w:t>　</w:t>
      </w:r>
      <w:r>
        <w:rPr>
          <w:rFonts w:hint="eastAsia" w:ascii="仿宋_GB2312" w:hAnsi="仿宋" w:eastAsia="仿宋_GB2312"/>
          <w:color w:val="000000" w:themeColor="text1"/>
          <w:sz w:val="32"/>
          <w:szCs w:val="32"/>
        </w:rPr>
        <w:t>嘉定</w:t>
      </w:r>
      <w:r>
        <w:rPr>
          <w:rFonts w:hint="eastAsia" w:ascii="仿宋_GB2312" w:eastAsia="仿宋_GB2312"/>
          <w:sz w:val="32"/>
          <w:szCs w:val="32"/>
        </w:rPr>
        <w:t>区科技小巨人企业实施动态管理，经认定的区科技小巨人企业有义务配合区科委开展科技创新成果统计调查等工作。</w:t>
      </w:r>
    </w:p>
    <w:p>
      <w:pPr>
        <w:rPr>
          <w:rFonts w:ascii="仿宋_GB2312" w:eastAsia="仿宋_GB2312"/>
          <w:sz w:val="32"/>
          <w:szCs w:val="32"/>
        </w:rPr>
      </w:pPr>
      <w:r>
        <w:rPr>
          <w:rFonts w:hint="eastAsia" w:ascii="仿宋_GB2312" w:eastAsia="仿宋_GB2312"/>
          <w:b/>
          <w:sz w:val="32"/>
          <w:szCs w:val="32"/>
        </w:rPr>
        <w:t xml:space="preserve">   第十二条</w:t>
      </w:r>
      <w:r>
        <w:rPr>
          <w:rFonts w:hint="eastAsia" w:eastAsia="仿宋_GB2312"/>
          <w:sz w:val="32"/>
          <w:szCs w:val="32"/>
        </w:rPr>
        <w:t xml:space="preserve">   </w:t>
      </w:r>
      <w:r>
        <w:rPr>
          <w:rFonts w:hint="eastAsia" w:ascii="仿宋_GB2312" w:eastAsia="仿宋_GB2312"/>
          <w:sz w:val="32"/>
          <w:szCs w:val="32"/>
        </w:rPr>
        <w:t>对提供虚假信息、有违法违规行为的区科技小巨人企业，一经查实，将取消称号，纳入诚信列入本区科技领域失信企业名单，三年内不得再申请认定。</w:t>
      </w:r>
    </w:p>
    <w:p>
      <w:pPr>
        <w:ind w:firstLine="645"/>
        <w:rPr>
          <w:rFonts w:ascii="仿宋_GB2312" w:eastAsia="仿宋_GB2312"/>
          <w:sz w:val="32"/>
          <w:szCs w:val="32"/>
        </w:rPr>
      </w:pPr>
    </w:p>
    <w:p>
      <w:pPr>
        <w:pStyle w:val="4"/>
        <w:shd w:val="clear" w:color="auto" w:fill="FFFFFF"/>
        <w:spacing w:before="0" w:beforeAutospacing="0" w:after="0" w:afterAutospacing="0"/>
        <w:contextualSpacing/>
        <w:jc w:val="center"/>
        <w:textAlignment w:val="baseline"/>
        <w:rPr>
          <w:rFonts w:ascii="黑体" w:hAnsi="黑体" w:eastAsia="黑体"/>
          <w:color w:val="000000" w:themeColor="text1"/>
          <w:sz w:val="32"/>
          <w:szCs w:val="32"/>
        </w:rPr>
      </w:pPr>
      <w:r>
        <w:rPr>
          <w:rFonts w:hint="eastAsia" w:ascii="黑体" w:hAnsi="黑体" w:eastAsia="黑体"/>
          <w:color w:val="000000" w:themeColor="text1"/>
          <w:sz w:val="32"/>
          <w:szCs w:val="32"/>
        </w:rPr>
        <w:t>第七章</w:t>
      </w:r>
      <w:r>
        <w:rPr>
          <w:rFonts w:hint="eastAsia" w:ascii="微软雅黑" w:hAnsi="微软雅黑" w:eastAsia="黑体"/>
          <w:color w:val="000000" w:themeColor="text1"/>
          <w:sz w:val="32"/>
          <w:szCs w:val="32"/>
        </w:rPr>
        <w:t> </w:t>
      </w:r>
      <w:r>
        <w:rPr>
          <w:rFonts w:hint="eastAsia" w:ascii="黑体" w:hAnsi="黑体" w:eastAsia="黑体"/>
          <w:color w:val="000000" w:themeColor="text1"/>
          <w:sz w:val="32"/>
          <w:szCs w:val="32"/>
        </w:rPr>
        <w:t xml:space="preserve"> </w:t>
      </w:r>
      <w:r>
        <w:rPr>
          <w:rFonts w:hint="eastAsia" w:ascii="微软雅黑" w:hAnsi="微软雅黑" w:eastAsia="黑体"/>
          <w:color w:val="000000" w:themeColor="text1"/>
          <w:sz w:val="32"/>
          <w:szCs w:val="32"/>
        </w:rPr>
        <w:t> </w:t>
      </w:r>
      <w:r>
        <w:rPr>
          <w:rFonts w:hint="eastAsia" w:ascii="黑体" w:hAnsi="黑体" w:eastAsia="黑体"/>
          <w:color w:val="000000" w:themeColor="text1"/>
          <w:sz w:val="32"/>
          <w:szCs w:val="32"/>
        </w:rPr>
        <w:t>附</w:t>
      </w:r>
      <w:r>
        <w:rPr>
          <w:rFonts w:hint="eastAsia" w:ascii="微软雅黑" w:hAnsi="微软雅黑" w:eastAsia="黑体"/>
          <w:color w:val="000000" w:themeColor="text1"/>
          <w:sz w:val="32"/>
          <w:szCs w:val="32"/>
        </w:rPr>
        <w:t> </w:t>
      </w:r>
      <w:r>
        <w:rPr>
          <w:rFonts w:hint="eastAsia" w:ascii="黑体" w:hAnsi="黑体" w:eastAsia="黑体"/>
          <w:color w:val="000000" w:themeColor="text1"/>
          <w:sz w:val="32"/>
          <w:szCs w:val="32"/>
        </w:rPr>
        <w:t xml:space="preserve"> 则</w:t>
      </w:r>
    </w:p>
    <w:p>
      <w:pPr>
        <w:contextualSpacing/>
        <w:rPr>
          <w:rFonts w:ascii="仿宋_GB2312" w:hAnsi="仿宋" w:eastAsia="仿宋_GB2312"/>
          <w:color w:val="000000" w:themeColor="text1"/>
          <w:kern w:val="0"/>
          <w:sz w:val="32"/>
          <w:szCs w:val="32"/>
        </w:rPr>
      </w:pPr>
      <w:r>
        <w:rPr>
          <w:rFonts w:hint="eastAsia" w:ascii="仿宋_GB2312" w:hAnsi="仿宋" w:eastAsia="仿宋_GB2312"/>
          <w:color w:val="000000" w:themeColor="text1"/>
          <w:kern w:val="0"/>
          <w:sz w:val="32"/>
          <w:szCs w:val="32"/>
        </w:rPr>
        <w:t xml:space="preserve">    </w:t>
      </w:r>
      <w:r>
        <w:rPr>
          <w:rFonts w:hint="eastAsia" w:ascii="仿宋_GB2312" w:hAnsi="仿宋" w:eastAsia="仿宋_GB2312"/>
          <w:b/>
          <w:color w:val="000000" w:themeColor="text1"/>
          <w:kern w:val="0"/>
          <w:sz w:val="32"/>
          <w:szCs w:val="32"/>
        </w:rPr>
        <w:t>第十三条</w:t>
      </w:r>
      <w:r>
        <w:rPr>
          <w:rFonts w:hint="eastAsia" w:ascii="微软雅黑" w:hAnsi="微软雅黑" w:eastAsia="仿宋_GB2312"/>
          <w:color w:val="000000" w:themeColor="text1"/>
          <w:kern w:val="0"/>
          <w:sz w:val="32"/>
          <w:szCs w:val="32"/>
        </w:rPr>
        <w:t xml:space="preserve">  </w:t>
      </w:r>
      <w:r>
        <w:rPr>
          <w:rFonts w:hint="eastAsia" w:ascii="仿宋_GB2312" w:hAnsi="仿宋" w:eastAsia="仿宋_GB2312" w:cs="宋体"/>
          <w:color w:val="000000" w:themeColor="text1"/>
          <w:kern w:val="0"/>
          <w:sz w:val="32"/>
          <w:szCs w:val="32"/>
        </w:rPr>
        <w:t>本细则由区科委负责解释，自发布之日起施行。</w:t>
      </w:r>
      <w:bookmarkStart w:id="0" w:name="_GoBack"/>
      <w:bookmarkEnd w:id="0"/>
    </w:p>
    <w:sectPr>
      <w:footerReference r:id="rId3"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910446"/>
    </w:sdtPr>
    <w:sdtContent>
      <w:p>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4392"/>
    <w:rsid w:val="000351AA"/>
    <w:rsid w:val="000367A0"/>
    <w:rsid w:val="0005291C"/>
    <w:rsid w:val="00070D3D"/>
    <w:rsid w:val="000B7368"/>
    <w:rsid w:val="000E0C83"/>
    <w:rsid w:val="000F1827"/>
    <w:rsid w:val="00121F84"/>
    <w:rsid w:val="00140D5B"/>
    <w:rsid w:val="00140FE4"/>
    <w:rsid w:val="00155900"/>
    <w:rsid w:val="001779C8"/>
    <w:rsid w:val="001939E1"/>
    <w:rsid w:val="001D469B"/>
    <w:rsid w:val="001D4A73"/>
    <w:rsid w:val="001E2A46"/>
    <w:rsid w:val="001E3BDB"/>
    <w:rsid w:val="001E5D41"/>
    <w:rsid w:val="001F686C"/>
    <w:rsid w:val="00201687"/>
    <w:rsid w:val="00244392"/>
    <w:rsid w:val="00275628"/>
    <w:rsid w:val="00284E0F"/>
    <w:rsid w:val="0029047C"/>
    <w:rsid w:val="002A3071"/>
    <w:rsid w:val="002A3A00"/>
    <w:rsid w:val="002A7861"/>
    <w:rsid w:val="002D63C3"/>
    <w:rsid w:val="00337CFA"/>
    <w:rsid w:val="00340259"/>
    <w:rsid w:val="003425A1"/>
    <w:rsid w:val="00380E1A"/>
    <w:rsid w:val="003852ED"/>
    <w:rsid w:val="00385A5E"/>
    <w:rsid w:val="003F0CAB"/>
    <w:rsid w:val="00407B49"/>
    <w:rsid w:val="00425AE6"/>
    <w:rsid w:val="00434AC6"/>
    <w:rsid w:val="004350CF"/>
    <w:rsid w:val="00451ACD"/>
    <w:rsid w:val="00451D55"/>
    <w:rsid w:val="00476508"/>
    <w:rsid w:val="00490E4C"/>
    <w:rsid w:val="004A427D"/>
    <w:rsid w:val="004B58CD"/>
    <w:rsid w:val="004B7977"/>
    <w:rsid w:val="004C5E9E"/>
    <w:rsid w:val="004E3046"/>
    <w:rsid w:val="004F3514"/>
    <w:rsid w:val="004F4B2F"/>
    <w:rsid w:val="004F5E1E"/>
    <w:rsid w:val="00514088"/>
    <w:rsid w:val="00522C44"/>
    <w:rsid w:val="00582B98"/>
    <w:rsid w:val="005924D6"/>
    <w:rsid w:val="005B62C5"/>
    <w:rsid w:val="005F7B9E"/>
    <w:rsid w:val="00607CB1"/>
    <w:rsid w:val="00611615"/>
    <w:rsid w:val="00635098"/>
    <w:rsid w:val="00665B62"/>
    <w:rsid w:val="00687E32"/>
    <w:rsid w:val="006C6E05"/>
    <w:rsid w:val="006F1FFF"/>
    <w:rsid w:val="0070280D"/>
    <w:rsid w:val="00704CA2"/>
    <w:rsid w:val="00720BDF"/>
    <w:rsid w:val="007713E9"/>
    <w:rsid w:val="007770AA"/>
    <w:rsid w:val="007A191E"/>
    <w:rsid w:val="007A452B"/>
    <w:rsid w:val="007B2D77"/>
    <w:rsid w:val="007D1A70"/>
    <w:rsid w:val="007D3EF6"/>
    <w:rsid w:val="007E299F"/>
    <w:rsid w:val="008245CB"/>
    <w:rsid w:val="008364D7"/>
    <w:rsid w:val="00837553"/>
    <w:rsid w:val="0088114F"/>
    <w:rsid w:val="00897B57"/>
    <w:rsid w:val="008A7620"/>
    <w:rsid w:val="008B4FCA"/>
    <w:rsid w:val="008B715E"/>
    <w:rsid w:val="008D309E"/>
    <w:rsid w:val="008D5FD7"/>
    <w:rsid w:val="008E27E5"/>
    <w:rsid w:val="0091572E"/>
    <w:rsid w:val="00970E3B"/>
    <w:rsid w:val="00996036"/>
    <w:rsid w:val="009A1372"/>
    <w:rsid w:val="009A1BFF"/>
    <w:rsid w:val="009B29A6"/>
    <w:rsid w:val="00A0188B"/>
    <w:rsid w:val="00A10F37"/>
    <w:rsid w:val="00A46F32"/>
    <w:rsid w:val="00A97B24"/>
    <w:rsid w:val="00AA1FD0"/>
    <w:rsid w:val="00AB6F9D"/>
    <w:rsid w:val="00AB6FB3"/>
    <w:rsid w:val="00AE182C"/>
    <w:rsid w:val="00AE4917"/>
    <w:rsid w:val="00AE5CF8"/>
    <w:rsid w:val="00B0217D"/>
    <w:rsid w:val="00B40E73"/>
    <w:rsid w:val="00B42821"/>
    <w:rsid w:val="00B61B33"/>
    <w:rsid w:val="00B71C6F"/>
    <w:rsid w:val="00B801B7"/>
    <w:rsid w:val="00BB0B52"/>
    <w:rsid w:val="00BD2683"/>
    <w:rsid w:val="00C137F6"/>
    <w:rsid w:val="00C365EE"/>
    <w:rsid w:val="00C77856"/>
    <w:rsid w:val="00C952F7"/>
    <w:rsid w:val="00CA2D17"/>
    <w:rsid w:val="00CB58C5"/>
    <w:rsid w:val="00CD1078"/>
    <w:rsid w:val="00CE5A48"/>
    <w:rsid w:val="00CF1F69"/>
    <w:rsid w:val="00D54A19"/>
    <w:rsid w:val="00D73DA4"/>
    <w:rsid w:val="00D91745"/>
    <w:rsid w:val="00DA7F63"/>
    <w:rsid w:val="00DB701C"/>
    <w:rsid w:val="00DE19CE"/>
    <w:rsid w:val="00DE4D3B"/>
    <w:rsid w:val="00DF50DF"/>
    <w:rsid w:val="00E252FF"/>
    <w:rsid w:val="00E3342B"/>
    <w:rsid w:val="00E36C8A"/>
    <w:rsid w:val="00E41BE6"/>
    <w:rsid w:val="00E65132"/>
    <w:rsid w:val="00E81B4D"/>
    <w:rsid w:val="00E96F37"/>
    <w:rsid w:val="00ED48F5"/>
    <w:rsid w:val="00EE0A18"/>
    <w:rsid w:val="00EF6EDA"/>
    <w:rsid w:val="00F82FE8"/>
    <w:rsid w:val="00F91B7A"/>
    <w:rsid w:val="00FD58F1"/>
    <w:rsid w:val="00FD5F78"/>
    <w:rsid w:val="00FD7B09"/>
    <w:rsid w:val="00FF3541"/>
    <w:rsid w:val="00FF78D5"/>
    <w:rsid w:val="73D53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277</Words>
  <Characters>1584</Characters>
  <Lines>13</Lines>
  <Paragraphs>3</Paragraphs>
  <TotalTime>0</TotalTime>
  <ScaleCrop>false</ScaleCrop>
  <LinksUpToDate>false</LinksUpToDate>
  <CharactersWithSpaces>1858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2020-04-13T05:17:00Z</dcterms:created>
  <dc:creator>周银屏</dc:creator>
  <cp:lastModifiedBy>ntko</cp:lastModifiedBy>
  <cp:lastPrinted>2020-04-14T07:26:00Z</cp:lastPrinted>
  <dcterms:modified xsi:type="dcterms:W3CDTF">2020-11-19T01:45:27Z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