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99F8C">
      <w:pPr>
        <w:keepNext w:val="0"/>
        <w:keepLines w:val="0"/>
        <w:pageBreakBefore w:val="0"/>
        <w:widowControl w:val="0"/>
        <w:kinsoku/>
        <w:wordWrap/>
        <w:overflowPunct/>
        <w:topLinePunct w:val="0"/>
        <w:autoSpaceDE/>
        <w:autoSpaceDN/>
        <w:bidi w:val="0"/>
        <w:adjustRightInd/>
        <w:snapToGrid/>
        <w:spacing w:after="157" w:afterLines="50" w:line="400" w:lineRule="exact"/>
        <w:jc w:val="left"/>
        <w:textAlignment w:val="auto"/>
        <w:rPr>
          <w:rFonts w:ascii="方正小标宋简体" w:hAnsi="方正小标宋简体" w:eastAsia="方正小标宋简体" w:cs="方正小标宋简体"/>
          <w:sz w:val="36"/>
          <w:szCs w:val="36"/>
        </w:rPr>
      </w:pPr>
      <w:r>
        <w:rPr>
          <w:rFonts w:hint="eastAsia" w:ascii="黑体" w:hAnsi="黑体" w:eastAsia="黑体" w:cs="黑体"/>
          <w:szCs w:val="32"/>
        </w:rPr>
        <w:t>附件1</w:t>
      </w:r>
      <w:r>
        <w:rPr>
          <w:rFonts w:hint="eastAsia" w:ascii="方正小标宋简体" w:hAnsi="方正小标宋简体" w:eastAsia="方正小标宋简体" w:cs="方正小标宋简体"/>
          <w:sz w:val="36"/>
          <w:szCs w:val="36"/>
        </w:rPr>
        <w:t xml:space="preserve">             </w:t>
      </w:r>
    </w:p>
    <w:p w14:paraId="27263C44">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5</w:t>
      </w:r>
      <w:r>
        <w:rPr>
          <w:rFonts w:hint="eastAsia" w:ascii="方正小标宋简体" w:hAnsi="方正小标宋简体" w:eastAsia="方正小标宋简体" w:cs="方正小标宋简体"/>
          <w:sz w:val="40"/>
          <w:szCs w:val="40"/>
        </w:rPr>
        <w:t>年嘉定区科技创新项目“揭榜挂帅”榜单</w:t>
      </w:r>
    </w:p>
    <w:p w14:paraId="5B58B9B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Cs w:val="32"/>
          <w:lang w:eastAsia="zh-CN"/>
        </w:rPr>
      </w:pPr>
    </w:p>
    <w:p w14:paraId="39798759">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黑体" w:hAnsi="黑体" w:eastAsia="黑体" w:cs="黑体"/>
          <w:sz w:val="40"/>
          <w:szCs w:val="40"/>
          <w:lang w:eastAsia="zh-CN"/>
        </w:rPr>
      </w:pPr>
      <w:r>
        <w:rPr>
          <w:rFonts w:hint="eastAsia" w:ascii="黑体" w:hAnsi="黑体" w:eastAsia="黑体" w:cs="黑体"/>
          <w:sz w:val="40"/>
          <w:szCs w:val="40"/>
          <w:lang w:eastAsia="zh-CN"/>
        </w:rPr>
        <w:t>技术攻关类</w:t>
      </w:r>
    </w:p>
    <w:p w14:paraId="247ED679">
      <w:pPr>
        <w:spacing w:line="400" w:lineRule="exact"/>
        <w:rPr>
          <w:rFonts w:hint="eastAsia" w:ascii="黑体" w:hAnsi="黑体" w:eastAsia="黑体" w:cs="黑体"/>
          <w:szCs w:val="32"/>
          <w:lang w:eastAsia="zh-CN"/>
        </w:rPr>
      </w:pPr>
      <w:r>
        <w:rPr>
          <w:rFonts w:hint="eastAsia" w:ascii="黑体" w:hAnsi="黑体" w:eastAsia="黑体" w:cs="黑体"/>
          <w:szCs w:val="32"/>
        </w:rPr>
        <w:t>榜单1</w:t>
      </w:r>
      <w:r>
        <w:rPr>
          <w:rFonts w:hint="eastAsia" w:ascii="黑体" w:hAnsi="黑体" w:eastAsia="黑体" w:cs="黑体"/>
          <w:szCs w:val="32"/>
          <w:lang w:eastAsia="zh-CN"/>
        </w:rPr>
        <w:t>：面向智能驾驶安全验证的硬件在环AI测试平台系统</w:t>
      </w:r>
    </w:p>
    <w:p w14:paraId="1633B206">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一、</w:t>
      </w:r>
      <w:r>
        <w:rPr>
          <w:rFonts w:hint="eastAsia" w:ascii="黑体" w:hAnsi="黑体" w:eastAsia="黑体" w:cs="黑体"/>
          <w:szCs w:val="32"/>
          <w:lang w:eastAsia="zh-CN"/>
        </w:rPr>
        <w:t>榜单</w:t>
      </w:r>
      <w:r>
        <w:rPr>
          <w:rFonts w:hint="eastAsia" w:ascii="黑体" w:hAnsi="黑体" w:eastAsia="黑体" w:cs="黑体"/>
          <w:szCs w:val="32"/>
        </w:rPr>
        <w:t>需求描述</w:t>
      </w:r>
    </w:p>
    <w:p w14:paraId="4B6FA18E">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rPr>
      </w:pPr>
      <w:r>
        <w:rPr>
          <w:rFonts w:hint="eastAsia"/>
        </w:rPr>
        <w:t>为满足智能驾驶预期功能安全测试要求，现组织开展面向智能驾驶安全验证的硬件在环AI测试平台系统研发，具体内容如下：</w:t>
      </w:r>
    </w:p>
    <w:p w14:paraId="3E302400">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rPr>
      </w:pPr>
      <w:r>
        <w:rPr>
          <w:rFonts w:hint="eastAsia"/>
          <w:lang w:val="en-US" w:eastAsia="zh-CN"/>
        </w:rPr>
        <w:t>1.</w:t>
      </w:r>
      <w:r>
        <w:rPr>
          <w:rFonts w:hint="eastAsia"/>
        </w:rPr>
        <w:t>建立AI加速的预期功能安全测试场景遴选方法，实现关键风险场景自动精准筛选，缩短场景遴选时间，减少待测场景数量；</w:t>
      </w:r>
    </w:p>
    <w:p w14:paraId="2F69E0D0">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rPr>
      </w:pPr>
      <w:r>
        <w:rPr>
          <w:rFonts w:hint="eastAsia"/>
          <w:lang w:val="en-US" w:eastAsia="zh-CN"/>
        </w:rPr>
        <w:t>2.</w:t>
      </w:r>
      <w:r>
        <w:rPr>
          <w:rFonts w:hint="eastAsia"/>
        </w:rPr>
        <w:t>构建支持AI测试的硬件在环实时场景演绎平台，实现智能驾驶硬件与仿真环境的实时数据同步，为AI测试智能体提供高质量拟真场景数据；</w:t>
      </w:r>
    </w:p>
    <w:p w14:paraId="0306AEA2">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rPr>
      </w:pPr>
      <w:r>
        <w:rPr>
          <w:rFonts w:hint="eastAsia"/>
          <w:lang w:val="en-US" w:eastAsia="zh-CN"/>
        </w:rPr>
        <w:t>3，</w:t>
      </w:r>
      <w:r>
        <w:rPr>
          <w:rFonts w:hint="eastAsia"/>
        </w:rPr>
        <w:t>建立AI赋能的测试结果自动评估系统，实现自动化风险评估与归因，支持测试数据的快速整理、风险诱因识别及多维度结构化解析，并自动生成评估报告。</w:t>
      </w:r>
    </w:p>
    <w:p w14:paraId="0CE74920">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szCs w:val="32"/>
          <w:lang w:eastAsia="zh-CN"/>
        </w:rPr>
      </w:pPr>
      <w:r>
        <w:rPr>
          <w:rFonts w:hint="eastAsia" w:ascii="黑体" w:hAnsi="黑体" w:eastAsia="黑体" w:cs="黑体"/>
          <w:szCs w:val="32"/>
          <w:lang w:eastAsia="zh-CN"/>
        </w:rPr>
        <w:t>二、考核指标</w:t>
      </w:r>
    </w:p>
    <w:p w14:paraId="405DA409">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场景遴选效率提升1倍以上，支持从大规模场景库中快速剔除冗余无效场景，精准筛选智驾预期功能安全关键风险场景；</w:t>
      </w:r>
    </w:p>
    <w:p w14:paraId="185D39BA">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场景演绎延迟≤100ms，支持仿真模型与智驾硬件的信号映射、保存与修改，实时记录测试数据（CSV、TXT或JSON等格式），支持参数实时调整；</w:t>
      </w:r>
    </w:p>
    <w:p w14:paraId="6F1921FE">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实现智驾预期功能安全测试报告一键智能化生成，自动生成时间＜30秒（含图表及数据比对），支持多种格式自动化导出。</w:t>
      </w:r>
    </w:p>
    <w:p w14:paraId="0204EE6F">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szCs w:val="32"/>
          <w:lang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Cs w:val="32"/>
          <w:lang w:eastAsia="zh-CN"/>
        </w:rPr>
        <w:t>揭榜方条件</w:t>
      </w:r>
    </w:p>
    <w:p w14:paraId="1312F52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cs="仿宋_GB2312"/>
          <w:color w:val="000000"/>
          <w:sz w:val="32"/>
          <w:szCs w:val="32"/>
          <w:lang w:val="en-US" w:eastAsia="zh-CN"/>
        </w:rPr>
        <w:t>揭榜方需能够在</w:t>
      </w:r>
      <w:r>
        <w:rPr>
          <w:rFonts w:hint="eastAsia" w:ascii="仿宋_GB2312" w:hAnsi="仿宋_GB2312" w:eastAsia="仿宋_GB2312" w:cs="仿宋_GB2312"/>
          <w:color w:val="000000"/>
          <w:sz w:val="32"/>
          <w:szCs w:val="32"/>
          <w:lang w:val="en-US" w:eastAsia="zh-CN"/>
        </w:rPr>
        <w:t>嘉定区开展科研工作，</w:t>
      </w:r>
      <w:r>
        <w:rPr>
          <w:rFonts w:hint="eastAsia" w:ascii="仿宋_GB2312" w:hAnsi="仿宋_GB2312" w:cs="仿宋_GB2312"/>
          <w:color w:val="000000"/>
          <w:sz w:val="32"/>
          <w:szCs w:val="32"/>
          <w:lang w:val="en-US" w:eastAsia="zh-CN"/>
        </w:rPr>
        <w:t>便于研发及数据对接；</w:t>
      </w:r>
    </w:p>
    <w:p w14:paraId="0306385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具备交通与智能网联汽车相结合的国家级项目经验，拥有复杂交通场景或极限工况下的智能驾驶测评经验；</w:t>
      </w:r>
    </w:p>
    <w:p w14:paraId="6A10DA5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cs="仿宋_GB2312"/>
          <w:color w:val="000000"/>
          <w:sz w:val="32"/>
          <w:szCs w:val="32"/>
          <w:lang w:val="en-US" w:eastAsia="zh-CN"/>
        </w:rPr>
      </w:pP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具备软硬件一体化测试工具链开发与系统集成能力，拥有成熟的硬件在环测试产品及部署经验，具备车规级硬件研发能力及相关行业认证资质；</w:t>
      </w:r>
    </w:p>
    <w:p w14:paraId="6A0D2FB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default"/>
          <w:lang w:val="en-US" w:eastAsia="zh-CN"/>
        </w:rPr>
      </w:pPr>
      <w:r>
        <w:rPr>
          <w:rFonts w:hint="eastAsia"/>
          <w:lang w:val="en-US" w:eastAsia="zh-CN"/>
        </w:rPr>
        <w:t>4.拥有2项以上智能网联汽车领域授权发明专利，专利需具备独有技术或创新点。</w:t>
      </w:r>
    </w:p>
    <w:p w14:paraId="33052EA7">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四、实施期限及预算投入</w:t>
      </w:r>
    </w:p>
    <w:p w14:paraId="108B0B2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实施期限：</w:t>
      </w:r>
      <w:r>
        <w:rPr>
          <w:rFonts w:hint="eastAsia" w:ascii="仿宋_GB2312" w:hAnsi="仿宋_GB2312" w:cs="仿宋_GB2312"/>
          <w:color w:val="000000"/>
          <w:sz w:val="32"/>
          <w:szCs w:val="32"/>
          <w:lang w:val="en-US" w:eastAsia="zh-CN"/>
        </w:rPr>
        <w:t>不晚于2027年12月31日</w:t>
      </w:r>
    </w:p>
    <w:p w14:paraId="6616EE4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预算投入：</w:t>
      </w:r>
      <w:r>
        <w:rPr>
          <w:rFonts w:hint="eastAsia" w:ascii="仿宋_GB2312" w:hAnsi="仿宋_GB2312" w:cs="仿宋_GB2312"/>
          <w:color w:val="000000"/>
          <w:sz w:val="32"/>
          <w:szCs w:val="32"/>
          <w:lang w:val="en-US" w:eastAsia="zh-CN"/>
        </w:rPr>
        <w:t>850</w:t>
      </w:r>
      <w:r>
        <w:rPr>
          <w:rFonts w:hint="eastAsia" w:ascii="仿宋_GB2312" w:hAnsi="仿宋_GB2312" w:eastAsia="仿宋_GB2312" w:cs="仿宋_GB2312"/>
          <w:color w:val="000000"/>
          <w:sz w:val="32"/>
          <w:szCs w:val="32"/>
          <w:lang w:val="en-US" w:eastAsia="zh-CN"/>
        </w:rPr>
        <w:t>万</w:t>
      </w:r>
      <w:r>
        <w:rPr>
          <w:rFonts w:hint="eastAsia" w:cs="仿宋_GB2312"/>
          <w:color w:val="000000"/>
          <w:sz w:val="32"/>
          <w:szCs w:val="32"/>
          <w:lang w:val="en-US" w:eastAsia="zh-CN"/>
        </w:rPr>
        <w:t>元</w:t>
      </w:r>
    </w:p>
    <w:p w14:paraId="3A96B503">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br w:type="page"/>
      </w:r>
    </w:p>
    <w:p w14:paraId="1FA042C1">
      <w:pPr>
        <w:spacing w:line="400" w:lineRule="exact"/>
        <w:rPr>
          <w:rFonts w:hint="eastAsia" w:ascii="黑体" w:hAnsi="黑体" w:eastAsia="黑体" w:cs="黑体"/>
          <w:szCs w:val="32"/>
          <w:lang w:eastAsia="zh-CN"/>
        </w:rPr>
      </w:pPr>
      <w:r>
        <w:rPr>
          <w:rFonts w:hint="eastAsia" w:ascii="黑体" w:hAnsi="黑体" w:eastAsia="黑体" w:cs="黑体"/>
          <w:szCs w:val="32"/>
        </w:rPr>
        <w:t>榜单</w:t>
      </w:r>
      <w:r>
        <w:rPr>
          <w:rFonts w:hint="eastAsia" w:ascii="黑体" w:hAnsi="黑体" w:eastAsia="黑体" w:cs="黑体"/>
          <w:szCs w:val="32"/>
          <w:lang w:val="en-US" w:eastAsia="zh-CN"/>
        </w:rPr>
        <w:t>2</w:t>
      </w:r>
      <w:r>
        <w:rPr>
          <w:rFonts w:hint="eastAsia" w:ascii="黑体" w:hAnsi="黑体" w:eastAsia="黑体" w:cs="黑体"/>
          <w:szCs w:val="32"/>
          <w:lang w:eastAsia="zh-CN"/>
        </w:rPr>
        <w:t>：AI驱动的第三代半导体功率器件热管理与可靠性测试分析系统</w:t>
      </w:r>
    </w:p>
    <w:p w14:paraId="6E7BA761">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一、</w:t>
      </w:r>
      <w:r>
        <w:rPr>
          <w:rFonts w:hint="eastAsia" w:ascii="黑体" w:hAnsi="黑体" w:eastAsia="黑体" w:cs="黑体"/>
          <w:szCs w:val="32"/>
          <w:lang w:eastAsia="zh-CN"/>
        </w:rPr>
        <w:t>榜单</w:t>
      </w:r>
      <w:r>
        <w:rPr>
          <w:rFonts w:hint="eastAsia" w:ascii="黑体" w:hAnsi="黑体" w:eastAsia="黑体" w:cs="黑体"/>
          <w:szCs w:val="32"/>
        </w:rPr>
        <w:t>需求描述</w:t>
      </w:r>
    </w:p>
    <w:p w14:paraId="3A15B2BE">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围绕第三代半导体核心产业链发展需求，聚焦SiC/GaN等高端功率器件在新能源汽车、储能系统、光伏逆变等严苛应用场景中的热管理精准表征与可靠性智能评估难题，研发AI驱动的热管理与可靠性测试分析系统。重点包括：开发多尺度自适应采集与降噪算法，解决高速瞬态信号采集与噪声抑制问题；建立高精度稳健的RC网络构建与优化方法，应对热结构反演模型的病态性与失真问题；构建融合深度学习与不确定性量化的智能预测框架，解决多物理场耦合退化预测不确定性挑战；研制软硬件协同的一体化平台，开展跨场景验证。</w:t>
      </w:r>
    </w:p>
    <w:p w14:paraId="49BE2AC9">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szCs w:val="32"/>
          <w:lang w:eastAsia="zh-CN"/>
        </w:rPr>
      </w:pPr>
      <w:r>
        <w:rPr>
          <w:rFonts w:hint="eastAsia" w:ascii="黑体" w:hAnsi="黑体" w:eastAsia="黑体" w:cs="黑体"/>
          <w:szCs w:val="32"/>
          <w:lang w:eastAsia="zh-CN"/>
        </w:rPr>
        <w:t>二、考核指标</w:t>
      </w:r>
    </w:p>
    <w:p w14:paraId="7FF2348E">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完成两套软硬件系统开发与交付，设备输出电流不小于1800A，具备微秒级（≤50μs）快速阶跃响应能力，具备全流程可视化控制与智能分析系统，基于AI驱动实现多物理场解耦与加速寿命算法，满足SiC/GaN功率器件的热学与可靠性测试需求。</w:t>
      </w:r>
    </w:p>
    <w:p w14:paraId="294A3E0B">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szCs w:val="32"/>
          <w:lang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Cs w:val="32"/>
          <w:lang w:eastAsia="zh-CN"/>
        </w:rPr>
        <w:t>揭榜方条件</w:t>
      </w:r>
    </w:p>
    <w:p w14:paraId="7F5EED6D">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1.揭榜方或其法人授权单位应具有CNAS/CMA资质</w:t>
      </w:r>
      <w:r>
        <w:rPr>
          <w:rFonts w:hint="eastAsia" w:cs="仿宋_GB2312"/>
          <w:color w:val="000000"/>
          <w:sz w:val="32"/>
          <w:szCs w:val="32"/>
          <w:lang w:val="en-US" w:eastAsia="zh-CN"/>
        </w:rPr>
        <w:t>；</w:t>
      </w:r>
    </w:p>
    <w:p w14:paraId="666B1C50">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2.AI智能模型算法需要与发榜单位共享</w:t>
      </w:r>
      <w:r>
        <w:rPr>
          <w:rFonts w:hint="eastAsia" w:cs="仿宋_GB2312"/>
          <w:color w:val="000000"/>
          <w:sz w:val="32"/>
          <w:szCs w:val="32"/>
          <w:lang w:val="en-US" w:eastAsia="zh-CN"/>
        </w:rPr>
        <w:t>；</w:t>
      </w:r>
    </w:p>
    <w:p w14:paraId="2A6BD41F">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仿宋_GB2312" w:hAnsi="仿宋_GB2312" w:eastAsia="仿宋_GB2312" w:cs="仿宋_GB2312"/>
          <w:color w:val="000000"/>
          <w:sz w:val="32"/>
          <w:szCs w:val="32"/>
          <w:lang w:val="en-US" w:eastAsia="zh-CN"/>
        </w:rPr>
      </w:pPr>
      <w:r>
        <w:rPr>
          <w:rFonts w:hint="eastAsia"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项目执行期内新增知识产权</w:t>
      </w:r>
      <w:r>
        <w:rPr>
          <w:rFonts w:hint="eastAsia" w:cs="仿宋_GB2312"/>
          <w:color w:val="000000"/>
          <w:sz w:val="32"/>
          <w:szCs w:val="32"/>
          <w:lang w:val="en-US" w:eastAsia="zh-CN"/>
        </w:rPr>
        <w:t>由</w:t>
      </w:r>
      <w:r>
        <w:rPr>
          <w:rFonts w:hint="eastAsia" w:ascii="仿宋_GB2312" w:hAnsi="仿宋_GB2312" w:eastAsia="仿宋_GB2312" w:cs="仿宋_GB2312"/>
          <w:color w:val="000000"/>
          <w:sz w:val="32"/>
          <w:szCs w:val="32"/>
          <w:lang w:val="en-US" w:eastAsia="zh-CN"/>
        </w:rPr>
        <w:t>双方共有(AI驱动相关算法模型)，产权成果后期收益双方共同分配(发榜方销售的产品，可获得70%收益，揭榜方获得30%收益)</w:t>
      </w:r>
      <w:r>
        <w:rPr>
          <w:rFonts w:hint="eastAsia" w:cs="仿宋_GB2312"/>
          <w:color w:val="000000"/>
          <w:sz w:val="32"/>
          <w:szCs w:val="32"/>
          <w:lang w:val="en-US" w:eastAsia="zh-CN"/>
        </w:rPr>
        <w:t>；</w:t>
      </w:r>
    </w:p>
    <w:p w14:paraId="07032C1F">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default" w:ascii="仿宋_GB2312" w:hAnsi="仿宋_GB2312" w:eastAsia="仿宋_GB2312" w:cs="仿宋_GB2312"/>
          <w:color w:val="000000"/>
          <w:sz w:val="32"/>
          <w:szCs w:val="32"/>
          <w:lang w:val="en-US" w:eastAsia="zh-CN"/>
        </w:rPr>
      </w:pPr>
      <w:r>
        <w:rPr>
          <w:rFonts w:hint="eastAsia" w:cs="仿宋_GB2312"/>
          <w:color w:val="000000"/>
          <w:sz w:val="32"/>
          <w:szCs w:val="32"/>
          <w:lang w:val="en-US" w:eastAsia="zh-CN"/>
        </w:rPr>
        <w:t>4.</w:t>
      </w:r>
      <w:r>
        <w:rPr>
          <w:rFonts w:hint="eastAsia" w:ascii="仿宋_GB2312" w:hAnsi="仿宋_GB2312" w:cs="仿宋_GB2312"/>
          <w:color w:val="000000"/>
          <w:sz w:val="32"/>
          <w:szCs w:val="32"/>
          <w:lang w:val="en-US" w:eastAsia="zh-CN"/>
        </w:rPr>
        <w:t>揭榜方需能够在</w:t>
      </w:r>
      <w:r>
        <w:rPr>
          <w:rFonts w:hint="eastAsia" w:ascii="仿宋_GB2312" w:hAnsi="仿宋_GB2312" w:eastAsia="仿宋_GB2312" w:cs="仿宋_GB2312"/>
          <w:color w:val="000000"/>
          <w:sz w:val="32"/>
          <w:szCs w:val="32"/>
          <w:lang w:val="en-US" w:eastAsia="zh-CN"/>
        </w:rPr>
        <w:t>嘉定区开展科研工作，</w:t>
      </w:r>
      <w:r>
        <w:rPr>
          <w:rFonts w:hint="eastAsia" w:ascii="仿宋_GB2312" w:hAnsi="仿宋_GB2312" w:cs="仿宋_GB2312"/>
          <w:color w:val="000000"/>
          <w:sz w:val="32"/>
          <w:szCs w:val="32"/>
          <w:lang w:val="en-US" w:eastAsia="zh-CN"/>
        </w:rPr>
        <w:t>便于研发及数据对接</w:t>
      </w:r>
      <w:r>
        <w:rPr>
          <w:rFonts w:hint="eastAsia" w:cs="仿宋_GB2312"/>
          <w:color w:val="000000"/>
          <w:sz w:val="32"/>
          <w:szCs w:val="32"/>
          <w:lang w:val="en-US" w:eastAsia="zh-CN"/>
        </w:rPr>
        <w:t>。</w:t>
      </w:r>
    </w:p>
    <w:p w14:paraId="4B92E129">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四、实施期限及预算投入</w:t>
      </w:r>
    </w:p>
    <w:p w14:paraId="17E8B70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实施期限：</w:t>
      </w:r>
      <w:r>
        <w:rPr>
          <w:rFonts w:hint="eastAsia" w:ascii="仿宋_GB2312" w:hAnsi="仿宋_GB2312" w:cs="仿宋_GB2312"/>
          <w:color w:val="000000"/>
          <w:sz w:val="32"/>
          <w:szCs w:val="32"/>
          <w:lang w:val="en-US" w:eastAsia="zh-CN"/>
        </w:rPr>
        <w:t>不晚于2027年12月31日</w:t>
      </w:r>
    </w:p>
    <w:p w14:paraId="5B9ADFF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预算投入：</w:t>
      </w:r>
      <w:r>
        <w:rPr>
          <w:rFonts w:hint="eastAsia" w:cs="仿宋_GB2312"/>
          <w:color w:val="000000"/>
          <w:sz w:val="32"/>
          <w:szCs w:val="32"/>
          <w:lang w:val="en-US" w:eastAsia="zh-CN"/>
        </w:rPr>
        <w:t>340</w:t>
      </w:r>
      <w:r>
        <w:rPr>
          <w:rFonts w:hint="eastAsia" w:ascii="仿宋_GB2312" w:hAnsi="仿宋_GB2312" w:eastAsia="仿宋_GB2312" w:cs="仿宋_GB2312"/>
          <w:color w:val="000000"/>
          <w:sz w:val="32"/>
          <w:szCs w:val="32"/>
          <w:lang w:val="en-US" w:eastAsia="zh-CN"/>
        </w:rPr>
        <w:t>万</w:t>
      </w:r>
      <w:r>
        <w:rPr>
          <w:rFonts w:hint="eastAsia" w:cs="仿宋_GB2312"/>
          <w:color w:val="000000"/>
          <w:sz w:val="32"/>
          <w:szCs w:val="32"/>
          <w:lang w:val="en-US" w:eastAsia="zh-CN"/>
        </w:rPr>
        <w:t>元</w:t>
      </w:r>
    </w:p>
    <w:p w14:paraId="0EE8A7FD">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br w:type="page"/>
      </w:r>
    </w:p>
    <w:p w14:paraId="049F5313">
      <w:pPr>
        <w:spacing w:line="400" w:lineRule="exact"/>
        <w:rPr>
          <w:rFonts w:hint="eastAsia" w:ascii="黑体" w:hAnsi="黑体" w:eastAsia="黑体" w:cs="黑体"/>
          <w:szCs w:val="32"/>
          <w:lang w:eastAsia="zh-CN"/>
        </w:rPr>
      </w:pPr>
      <w:r>
        <w:rPr>
          <w:rFonts w:hint="eastAsia" w:ascii="黑体" w:hAnsi="黑体" w:eastAsia="黑体" w:cs="黑体"/>
          <w:szCs w:val="32"/>
        </w:rPr>
        <w:t>榜单</w:t>
      </w:r>
      <w:r>
        <w:rPr>
          <w:rFonts w:hint="eastAsia" w:ascii="黑体" w:hAnsi="黑体" w:eastAsia="黑体" w:cs="黑体"/>
          <w:szCs w:val="32"/>
          <w:lang w:val="en-US" w:eastAsia="zh-CN"/>
        </w:rPr>
        <w:t>3</w:t>
      </w:r>
      <w:r>
        <w:rPr>
          <w:rFonts w:hint="eastAsia" w:ascii="黑体" w:hAnsi="黑体" w:eastAsia="黑体" w:cs="黑体"/>
          <w:szCs w:val="32"/>
          <w:lang w:eastAsia="zh-CN"/>
        </w:rPr>
        <w:t>：面向高性能光纤陀螺的保偏光纤与器件研制</w:t>
      </w:r>
    </w:p>
    <w:p w14:paraId="67F004BF">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一、</w:t>
      </w:r>
      <w:r>
        <w:rPr>
          <w:rFonts w:hint="eastAsia" w:ascii="黑体" w:hAnsi="黑体" w:eastAsia="黑体" w:cs="黑体"/>
          <w:szCs w:val="32"/>
          <w:lang w:eastAsia="zh-CN"/>
        </w:rPr>
        <w:t>榜单</w:t>
      </w:r>
      <w:r>
        <w:rPr>
          <w:rFonts w:hint="eastAsia" w:ascii="黑体" w:hAnsi="黑体" w:eastAsia="黑体" w:cs="黑体"/>
          <w:szCs w:val="32"/>
        </w:rPr>
        <w:t>需求描述</w:t>
      </w:r>
    </w:p>
    <w:p w14:paraId="28774A4F">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 xml:space="preserve">为提高光纤陀螺精度，增强光纤陀螺的环境适应性，开展新型保偏光纤与器件研制。重点包括：设计开发低损耗的反谐振空芯保偏光纤、超低损耗高消光比的保偏光子晶体光纤；突破反谐振空芯光纤熔接、实芯/空芯光纤端面镀膜熔接、保偏光纤端面全玻璃密封、实芯光子晶体光纤全光纤耦合器等关键技术，并在光纤陀螺仪中完成演示验证，解决光子晶体光纤陀螺应用的一系列器件与工艺瓶颈问题。 </w:t>
      </w:r>
    </w:p>
    <w:p w14:paraId="2C496DFB">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szCs w:val="32"/>
          <w:lang w:eastAsia="zh-CN"/>
        </w:rPr>
      </w:pPr>
      <w:r>
        <w:rPr>
          <w:rFonts w:hint="eastAsia" w:ascii="黑体" w:hAnsi="黑体" w:eastAsia="黑体" w:cs="黑体"/>
          <w:szCs w:val="32"/>
          <w:lang w:eastAsia="zh-CN"/>
        </w:rPr>
        <w:t>二、考核指标</w:t>
      </w:r>
    </w:p>
    <w:p w14:paraId="1F94D1BD">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1.实芯保偏光纤熔接损耗≤0.1dB，熔接消光比≥50dB；</w:t>
      </w:r>
    </w:p>
    <w:p w14:paraId="26AB0ABA">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2.保偏光子晶体光纤与保偏光纤熔接损耗≤0.3dB，熔接消光比≥30dB；</w:t>
      </w:r>
    </w:p>
    <w:p w14:paraId="43226B97">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3.反谐振空芯保偏光纤与实芯保偏光纤镀膜熔接损耗≤0.3dB，熔接消光比≥30dB；</w:t>
      </w:r>
    </w:p>
    <w:p w14:paraId="75391E9F">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4.反谐振空芯保偏光纤传输损耗≤1.0dB，空芯保偏光纤传输消光比≥25dB/100m；</w:t>
      </w:r>
    </w:p>
    <w:p w14:paraId="1DD74D45">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5.实芯保偏光纤端头全玻璃封装，封装损耗≤0.15dB，封装消光比≥30dB；</w:t>
      </w:r>
    </w:p>
    <w:p w14:paraId="0D26176F">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 xml:space="preserve">6.空芯保偏光纤端头全玻璃封装，封装损耗≤0.15dB，封装消光比≥30dB； </w:t>
      </w:r>
    </w:p>
    <w:p w14:paraId="0DAF68E8">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7.实芯光子晶体光纤全光纤耦合器额外损耗≤0.3dB，消光比≥28dB。</w:t>
      </w:r>
    </w:p>
    <w:p w14:paraId="35EAFDC9">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三、项目交付件</w:t>
      </w:r>
    </w:p>
    <w:p w14:paraId="1B80FFAC">
      <w:pPr>
        <w:spacing w:line="360" w:lineRule="auto"/>
        <w:ind w:firstLine="640" w:firstLineChars="200"/>
        <w:rPr>
          <w:rFonts w:hint="eastAsia" w:ascii="仿宋_GB2312" w:hAnsi="仿宋_GB2312" w:eastAsia="仿宋_GB2312" w:cs="仿宋_GB2312"/>
          <w:b w:val="0"/>
          <w:bCs w:val="0"/>
          <w:szCs w:val="21"/>
          <w:highlight w:val="none"/>
        </w:rPr>
      </w:pPr>
      <w:r>
        <w:rPr>
          <w:rFonts w:hint="eastAsia" w:ascii="仿宋_GB2312" w:hAnsi="仿宋_GB2312" w:eastAsia="仿宋_GB2312" w:cs="仿宋_GB2312"/>
          <w:b w:val="0"/>
          <w:bCs w:val="0"/>
          <w:szCs w:val="21"/>
          <w:highlight w:val="none"/>
          <w:lang w:val="en-US" w:eastAsia="zh-CN"/>
        </w:rPr>
        <w:t>1.</w:t>
      </w:r>
      <w:r>
        <w:rPr>
          <w:rFonts w:hint="eastAsia" w:ascii="仿宋_GB2312" w:hAnsi="仿宋_GB2312" w:eastAsia="仿宋_GB2312" w:cs="仿宋_GB2312"/>
          <w:b w:val="0"/>
          <w:bCs w:val="0"/>
          <w:szCs w:val="21"/>
          <w:highlight w:val="none"/>
        </w:rPr>
        <w:t>保偏光纤低损耗高消光比熔接与测试方案报告；</w:t>
      </w:r>
    </w:p>
    <w:p w14:paraId="56D0B04F">
      <w:pPr>
        <w:spacing w:line="360" w:lineRule="auto"/>
        <w:ind w:firstLine="640" w:firstLineChars="200"/>
        <w:rPr>
          <w:rFonts w:hint="eastAsia" w:ascii="仿宋_GB2312" w:hAnsi="仿宋_GB2312" w:eastAsia="仿宋_GB2312" w:cs="仿宋_GB2312"/>
          <w:b w:val="0"/>
          <w:bCs w:val="0"/>
          <w:szCs w:val="21"/>
          <w:highlight w:val="none"/>
        </w:rPr>
      </w:pPr>
      <w:r>
        <w:rPr>
          <w:rFonts w:hint="eastAsia" w:ascii="仿宋_GB2312" w:hAnsi="仿宋_GB2312" w:eastAsia="仿宋_GB2312" w:cs="仿宋_GB2312"/>
          <w:b w:val="0"/>
          <w:bCs w:val="0"/>
          <w:szCs w:val="21"/>
          <w:highlight w:val="none"/>
          <w:lang w:val="en-US" w:eastAsia="zh-CN"/>
        </w:rPr>
        <w:t>2.</w:t>
      </w:r>
      <w:r>
        <w:rPr>
          <w:rFonts w:hint="eastAsia" w:ascii="仿宋_GB2312" w:hAnsi="仿宋_GB2312" w:eastAsia="仿宋_GB2312" w:cs="仿宋_GB2312"/>
          <w:b w:val="0"/>
          <w:bCs w:val="0"/>
          <w:szCs w:val="21"/>
          <w:highlight w:val="none"/>
        </w:rPr>
        <w:t>保偏光子晶体光纤与保偏光纤熔接与测试方案</w:t>
      </w:r>
      <w:r>
        <w:rPr>
          <w:rFonts w:hint="eastAsia" w:ascii="仿宋_GB2312" w:hAnsi="仿宋_GB2312" w:eastAsia="仿宋_GB2312" w:cs="仿宋_GB2312"/>
          <w:b w:val="0"/>
          <w:bCs w:val="0"/>
          <w:szCs w:val="21"/>
          <w:highlight w:val="none"/>
          <w:lang w:val="en-US"/>
        </w:rPr>
        <w:t>技术</w:t>
      </w:r>
      <w:r>
        <w:rPr>
          <w:rFonts w:hint="eastAsia" w:ascii="仿宋_GB2312" w:hAnsi="仿宋_GB2312" w:eastAsia="仿宋_GB2312" w:cs="仿宋_GB2312"/>
          <w:b w:val="0"/>
          <w:bCs w:val="0"/>
          <w:szCs w:val="21"/>
          <w:highlight w:val="none"/>
        </w:rPr>
        <w:t>报告；</w:t>
      </w:r>
    </w:p>
    <w:p w14:paraId="6D68D3E7">
      <w:pPr>
        <w:spacing w:line="360" w:lineRule="auto"/>
        <w:ind w:firstLine="640" w:firstLineChars="200"/>
        <w:rPr>
          <w:rFonts w:hint="eastAsia" w:ascii="仿宋_GB2312" w:hAnsi="仿宋_GB2312" w:eastAsia="仿宋_GB2312" w:cs="仿宋_GB2312"/>
          <w:b w:val="0"/>
          <w:bCs w:val="0"/>
          <w:szCs w:val="21"/>
          <w:highlight w:val="none"/>
        </w:rPr>
      </w:pPr>
      <w:r>
        <w:rPr>
          <w:rFonts w:hint="eastAsia" w:ascii="仿宋_GB2312" w:hAnsi="仿宋_GB2312" w:eastAsia="仿宋_GB2312" w:cs="仿宋_GB2312"/>
          <w:b w:val="0"/>
          <w:bCs w:val="0"/>
          <w:szCs w:val="21"/>
          <w:highlight w:val="none"/>
          <w:lang w:val="en-US" w:eastAsia="zh-CN"/>
        </w:rPr>
        <w:t>3.</w:t>
      </w:r>
      <w:r>
        <w:rPr>
          <w:rFonts w:hint="eastAsia" w:ascii="仿宋_GB2312" w:hAnsi="仿宋_GB2312" w:eastAsia="仿宋_GB2312" w:cs="仿宋_GB2312"/>
          <w:b w:val="0"/>
          <w:bCs w:val="0"/>
          <w:szCs w:val="21"/>
          <w:highlight w:val="none"/>
        </w:rPr>
        <w:t>反谐振空芯保偏光纤与保偏光纤熔接与测试</w:t>
      </w:r>
      <w:r>
        <w:rPr>
          <w:rFonts w:hint="eastAsia" w:ascii="仿宋_GB2312" w:hAnsi="仿宋_GB2312" w:eastAsia="仿宋_GB2312" w:cs="仿宋_GB2312"/>
          <w:b w:val="0"/>
          <w:bCs w:val="0"/>
          <w:szCs w:val="21"/>
          <w:highlight w:val="none"/>
          <w:lang w:val="en-US"/>
        </w:rPr>
        <w:t>技术</w:t>
      </w:r>
      <w:r>
        <w:rPr>
          <w:rFonts w:hint="eastAsia" w:ascii="仿宋_GB2312" w:hAnsi="仿宋_GB2312" w:eastAsia="仿宋_GB2312" w:cs="仿宋_GB2312"/>
          <w:b w:val="0"/>
          <w:bCs w:val="0"/>
          <w:szCs w:val="21"/>
          <w:highlight w:val="none"/>
        </w:rPr>
        <w:t>方案报告；</w:t>
      </w:r>
    </w:p>
    <w:p w14:paraId="4A535D33">
      <w:pPr>
        <w:spacing w:line="360" w:lineRule="auto"/>
        <w:ind w:firstLine="640" w:firstLineChars="200"/>
        <w:rPr>
          <w:rFonts w:hint="eastAsia" w:ascii="仿宋_GB2312" w:hAnsi="仿宋_GB2312" w:eastAsia="仿宋_GB2312" w:cs="仿宋_GB2312"/>
          <w:b w:val="0"/>
          <w:bCs w:val="0"/>
          <w:szCs w:val="21"/>
          <w:highlight w:val="none"/>
        </w:rPr>
      </w:pPr>
      <w:r>
        <w:rPr>
          <w:rFonts w:hint="eastAsia" w:ascii="仿宋_GB2312" w:hAnsi="仿宋_GB2312" w:eastAsia="仿宋_GB2312" w:cs="仿宋_GB2312"/>
          <w:b w:val="0"/>
          <w:bCs w:val="0"/>
          <w:szCs w:val="21"/>
          <w:highlight w:val="none"/>
          <w:lang w:val="en-US" w:eastAsia="zh-CN"/>
        </w:rPr>
        <w:t>4.</w:t>
      </w:r>
      <w:r>
        <w:rPr>
          <w:rFonts w:hint="eastAsia" w:ascii="仿宋_GB2312" w:hAnsi="仿宋_GB2312" w:eastAsia="仿宋_GB2312" w:cs="仿宋_GB2312"/>
          <w:b w:val="0"/>
          <w:bCs w:val="0"/>
          <w:szCs w:val="21"/>
          <w:highlight w:val="none"/>
        </w:rPr>
        <w:t>500m反谐振空芯保偏光纤样品</w:t>
      </w:r>
      <w:r>
        <w:rPr>
          <w:rFonts w:hint="eastAsia" w:ascii="仿宋_GB2312" w:hAnsi="仿宋_GB2312" w:eastAsia="仿宋_GB2312" w:cs="仿宋_GB2312"/>
          <w:b w:val="0"/>
          <w:bCs w:val="0"/>
          <w:szCs w:val="21"/>
          <w:highlight w:val="none"/>
          <w:lang w:val="en-US"/>
        </w:rPr>
        <w:t>研制</w:t>
      </w:r>
      <w:r>
        <w:rPr>
          <w:rFonts w:hint="eastAsia" w:ascii="仿宋_GB2312" w:hAnsi="仿宋_GB2312" w:eastAsia="仿宋_GB2312" w:cs="仿宋_GB2312"/>
          <w:b w:val="0"/>
          <w:bCs w:val="0"/>
          <w:szCs w:val="21"/>
          <w:highlight w:val="none"/>
        </w:rPr>
        <w:t>与测试报告；</w:t>
      </w:r>
    </w:p>
    <w:p w14:paraId="2CC8DB72">
      <w:pPr>
        <w:spacing w:line="360" w:lineRule="auto"/>
        <w:ind w:firstLine="640" w:firstLineChars="200"/>
        <w:rPr>
          <w:rFonts w:hint="eastAsia" w:cs="仿宋_GB2312"/>
          <w:b w:val="0"/>
          <w:bCs w:val="0"/>
          <w:szCs w:val="21"/>
          <w:highlight w:val="none"/>
          <w:lang w:eastAsia="zh-CN"/>
        </w:rPr>
      </w:pPr>
      <w:r>
        <w:rPr>
          <w:rFonts w:hint="eastAsia" w:ascii="仿宋_GB2312" w:hAnsi="仿宋_GB2312" w:eastAsia="仿宋_GB2312" w:cs="仿宋_GB2312"/>
          <w:b w:val="0"/>
          <w:bCs w:val="0"/>
          <w:szCs w:val="21"/>
          <w:highlight w:val="none"/>
          <w:lang w:val="en-US" w:eastAsia="zh-CN"/>
        </w:rPr>
        <w:t>5.</w:t>
      </w:r>
      <w:r>
        <w:rPr>
          <w:rFonts w:hint="eastAsia" w:ascii="仿宋_GB2312" w:hAnsi="仿宋_GB2312" w:eastAsia="仿宋_GB2312" w:cs="仿宋_GB2312"/>
          <w:b w:val="0"/>
          <w:bCs w:val="0"/>
          <w:szCs w:val="21"/>
          <w:highlight w:val="none"/>
        </w:rPr>
        <w:t>实芯和空芯保偏光纤端头全玻璃封装工艺报告</w:t>
      </w:r>
      <w:r>
        <w:rPr>
          <w:rFonts w:hint="eastAsia" w:cs="仿宋_GB2312"/>
          <w:b w:val="0"/>
          <w:bCs w:val="0"/>
          <w:szCs w:val="21"/>
          <w:highlight w:val="none"/>
          <w:lang w:eastAsia="zh-CN"/>
        </w:rPr>
        <w:t>、</w:t>
      </w:r>
      <w:r>
        <w:rPr>
          <w:rFonts w:hint="eastAsia" w:ascii="仿宋_GB2312" w:hAnsi="仿宋_GB2312" w:eastAsia="仿宋_GB2312" w:cs="仿宋_GB2312"/>
          <w:b w:val="0"/>
          <w:bCs w:val="0"/>
          <w:szCs w:val="21"/>
          <w:highlight w:val="none"/>
        </w:rPr>
        <w:t>实芯光子晶体光纤</w:t>
      </w:r>
      <w:r>
        <w:rPr>
          <w:rFonts w:hint="eastAsia" w:ascii="仿宋_GB2312" w:hAnsi="仿宋_GB2312" w:eastAsia="仿宋_GB2312" w:cs="仿宋_GB2312"/>
          <w:b w:val="0"/>
          <w:bCs w:val="0"/>
          <w:szCs w:val="21"/>
          <w:highlight w:val="none"/>
          <w:lang w:val="en-US"/>
        </w:rPr>
        <w:t>、</w:t>
      </w:r>
      <w:r>
        <w:rPr>
          <w:rFonts w:hint="eastAsia" w:ascii="仿宋_GB2312" w:hAnsi="仿宋_GB2312" w:eastAsia="仿宋_GB2312" w:cs="仿宋_GB2312"/>
          <w:b w:val="0"/>
          <w:bCs w:val="0"/>
          <w:szCs w:val="21"/>
          <w:highlight w:val="none"/>
        </w:rPr>
        <w:t>全光纤耦合器关键技术研究报告</w:t>
      </w:r>
      <w:r>
        <w:rPr>
          <w:rFonts w:hint="eastAsia" w:cs="仿宋_GB2312"/>
          <w:b w:val="0"/>
          <w:bCs w:val="0"/>
          <w:szCs w:val="21"/>
          <w:highlight w:val="none"/>
          <w:lang w:eastAsia="zh-CN"/>
        </w:rPr>
        <w:t>；</w:t>
      </w:r>
    </w:p>
    <w:p w14:paraId="69561BDE">
      <w:pPr>
        <w:spacing w:line="360" w:lineRule="auto"/>
        <w:ind w:firstLine="640" w:firstLineChars="200"/>
        <w:rPr>
          <w:rFonts w:hint="eastAsia" w:cs="仿宋_GB2312"/>
          <w:b w:val="0"/>
          <w:bCs w:val="0"/>
          <w:szCs w:val="21"/>
          <w:highlight w:val="none"/>
          <w:lang w:eastAsia="zh-CN"/>
        </w:rPr>
      </w:pPr>
      <w:r>
        <w:rPr>
          <w:rFonts w:hint="eastAsia" w:cs="仿宋_GB2312"/>
          <w:b w:val="0"/>
          <w:bCs w:val="0"/>
          <w:szCs w:val="21"/>
          <w:highlight w:val="none"/>
          <w:lang w:val="en-US" w:eastAsia="zh-CN"/>
        </w:rPr>
        <w:t>6.</w:t>
      </w:r>
      <w:r>
        <w:rPr>
          <w:rFonts w:hint="eastAsia" w:ascii="仿宋_GB2312" w:hAnsi="仿宋_GB2312" w:eastAsia="仿宋_GB2312" w:cs="仿宋_GB2312"/>
          <w:b w:val="0"/>
          <w:bCs w:val="0"/>
          <w:szCs w:val="21"/>
          <w:highlight w:val="none"/>
        </w:rPr>
        <w:t>实芯和空芯保偏光纤端头全玻璃封装样品</w:t>
      </w:r>
      <w:r>
        <w:rPr>
          <w:rFonts w:hint="eastAsia" w:cs="仿宋_GB2312"/>
          <w:b w:val="0"/>
          <w:bCs w:val="0"/>
          <w:szCs w:val="21"/>
          <w:highlight w:val="none"/>
          <w:lang w:eastAsia="zh-CN"/>
        </w:rPr>
        <w:t>、</w:t>
      </w:r>
      <w:r>
        <w:rPr>
          <w:rFonts w:hint="eastAsia" w:ascii="仿宋_GB2312" w:hAnsi="仿宋_GB2312" w:eastAsia="仿宋_GB2312" w:cs="仿宋_GB2312"/>
          <w:b w:val="0"/>
          <w:bCs w:val="0"/>
          <w:szCs w:val="21"/>
          <w:highlight w:val="none"/>
        </w:rPr>
        <w:t>实芯光子晶体光纤样品</w:t>
      </w:r>
      <w:r>
        <w:rPr>
          <w:rFonts w:hint="eastAsia" w:ascii="仿宋_GB2312" w:hAnsi="仿宋_GB2312" w:eastAsia="仿宋_GB2312" w:cs="仿宋_GB2312"/>
          <w:b w:val="0"/>
          <w:bCs w:val="0"/>
          <w:szCs w:val="21"/>
          <w:highlight w:val="none"/>
          <w:lang w:val="en-US"/>
        </w:rPr>
        <w:t>、</w:t>
      </w:r>
      <w:r>
        <w:rPr>
          <w:rFonts w:hint="eastAsia" w:ascii="仿宋_GB2312" w:hAnsi="仿宋_GB2312" w:eastAsia="仿宋_GB2312" w:cs="仿宋_GB2312"/>
          <w:b w:val="0"/>
          <w:bCs w:val="0"/>
          <w:szCs w:val="21"/>
          <w:highlight w:val="none"/>
        </w:rPr>
        <w:t>全光纤耦合器</w:t>
      </w:r>
      <w:r>
        <w:rPr>
          <w:rFonts w:hint="eastAsia" w:cs="仿宋_GB2312"/>
          <w:b w:val="0"/>
          <w:bCs w:val="0"/>
          <w:szCs w:val="21"/>
          <w:highlight w:val="none"/>
          <w:lang w:eastAsia="zh-CN"/>
        </w:rPr>
        <w:t>样品；</w:t>
      </w:r>
    </w:p>
    <w:p w14:paraId="15F3A824">
      <w:pPr>
        <w:spacing w:line="360" w:lineRule="auto"/>
        <w:ind w:firstLine="640" w:firstLineChars="20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szCs w:val="21"/>
          <w:highlight w:val="none"/>
          <w:lang w:val="en-US" w:eastAsia="zh-CN"/>
        </w:rPr>
        <w:t>7.协助出题单位完成</w:t>
      </w:r>
      <w:r>
        <w:rPr>
          <w:rFonts w:hint="eastAsia" w:ascii="仿宋_GB2312" w:hAnsi="仿宋_GB2312" w:eastAsia="仿宋_GB2312" w:cs="仿宋_GB2312"/>
          <w:b w:val="0"/>
          <w:bCs w:val="0"/>
          <w:szCs w:val="21"/>
          <w:highlight w:val="none"/>
        </w:rPr>
        <w:t>光纤陀螺仪总体测试报告、使用手册</w:t>
      </w:r>
      <w:r>
        <w:rPr>
          <w:rFonts w:hint="eastAsia" w:ascii="仿宋_GB2312" w:hAnsi="仿宋_GB2312" w:eastAsia="仿宋_GB2312" w:cs="仿宋_GB2312"/>
          <w:b w:val="0"/>
          <w:bCs w:val="0"/>
          <w:szCs w:val="21"/>
          <w:highlight w:val="none"/>
          <w:lang w:eastAsia="zh-CN"/>
        </w:rPr>
        <w:t>及</w:t>
      </w:r>
      <w:r>
        <w:rPr>
          <w:rFonts w:hint="eastAsia" w:ascii="仿宋_GB2312" w:hAnsi="仿宋_GB2312" w:eastAsia="仿宋_GB2312" w:cs="仿宋_GB2312"/>
          <w:b w:val="0"/>
          <w:bCs w:val="0"/>
          <w:szCs w:val="21"/>
          <w:highlight w:val="none"/>
        </w:rPr>
        <w:t xml:space="preserve">维保技术方案。 </w:t>
      </w:r>
    </w:p>
    <w:p w14:paraId="4534F3A2">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szCs w:val="32"/>
          <w:lang w:eastAsia="zh-CN"/>
        </w:rPr>
      </w:pPr>
      <w:r>
        <w:rPr>
          <w:rFonts w:hint="eastAsia" w:ascii="黑体" w:hAnsi="黑体" w:eastAsia="黑体" w:cs="黑体"/>
          <w:szCs w:val="32"/>
          <w:lang w:eastAsia="zh-CN"/>
        </w:rPr>
        <w:t>四、揭榜方条件</w:t>
      </w:r>
    </w:p>
    <w:p w14:paraId="0DB5A55E">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1.具备相关领域前期工作基础；</w:t>
      </w:r>
    </w:p>
    <w:p w14:paraId="475E229A">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仿宋_GB2312" w:hAnsi="仿宋_GB2312" w:eastAsia="仿宋_GB2312" w:cs="仿宋_GB2312"/>
          <w:color w:val="000000"/>
          <w:sz w:val="32"/>
          <w:szCs w:val="32"/>
          <w:lang w:val="en-US" w:eastAsia="zh-CN"/>
        </w:rPr>
      </w:pPr>
      <w:r>
        <w:rPr>
          <w:rFonts w:hint="eastAsia" w:cs="仿宋_GB2312"/>
          <w:color w:val="000000"/>
          <w:sz w:val="32"/>
          <w:szCs w:val="32"/>
          <w:lang w:val="en-US" w:eastAsia="zh-CN"/>
        </w:rPr>
        <w:t>2.拥有</w:t>
      </w:r>
      <w:r>
        <w:rPr>
          <w:rFonts w:hint="eastAsia" w:ascii="仿宋_GB2312" w:hAnsi="仿宋_GB2312" w:eastAsia="仿宋_GB2312" w:cs="仿宋_GB2312"/>
          <w:color w:val="000000"/>
          <w:sz w:val="32"/>
          <w:szCs w:val="32"/>
          <w:lang w:val="en-US" w:eastAsia="zh-CN"/>
        </w:rPr>
        <w:t>前期相关样品的成果；</w:t>
      </w:r>
    </w:p>
    <w:p w14:paraId="340755B1">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仿宋_GB2312" w:hAnsi="仿宋_GB2312" w:eastAsia="仿宋_GB2312" w:cs="仿宋_GB2312"/>
          <w:color w:val="000000"/>
          <w:sz w:val="32"/>
          <w:szCs w:val="32"/>
          <w:lang w:val="en-US" w:eastAsia="zh-CN"/>
        </w:rPr>
      </w:pPr>
      <w:r>
        <w:rPr>
          <w:rFonts w:hint="eastAsia"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具备器件封装经验。</w:t>
      </w:r>
    </w:p>
    <w:p w14:paraId="2A29D9AA">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五、实施期限及预算投入</w:t>
      </w:r>
    </w:p>
    <w:p w14:paraId="72933AE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实施期限：</w:t>
      </w:r>
      <w:r>
        <w:rPr>
          <w:rFonts w:hint="eastAsia" w:ascii="仿宋_GB2312" w:hAnsi="仿宋_GB2312" w:cs="仿宋_GB2312"/>
          <w:color w:val="000000"/>
          <w:sz w:val="32"/>
          <w:szCs w:val="32"/>
          <w:lang w:val="en-US" w:eastAsia="zh-CN"/>
        </w:rPr>
        <w:t>不晚于2027年12月31日</w:t>
      </w:r>
    </w:p>
    <w:p w14:paraId="118A6C2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预算投入：</w:t>
      </w:r>
      <w:r>
        <w:rPr>
          <w:rFonts w:hint="eastAsia" w:cs="仿宋_GB2312"/>
          <w:color w:val="000000"/>
          <w:sz w:val="32"/>
          <w:szCs w:val="32"/>
          <w:lang w:val="en-US" w:eastAsia="zh-CN"/>
        </w:rPr>
        <w:t>300</w:t>
      </w:r>
      <w:r>
        <w:rPr>
          <w:rFonts w:hint="eastAsia" w:ascii="仿宋_GB2312" w:hAnsi="仿宋_GB2312" w:eastAsia="仿宋_GB2312" w:cs="仿宋_GB2312"/>
          <w:color w:val="000000"/>
          <w:sz w:val="32"/>
          <w:szCs w:val="32"/>
          <w:lang w:val="en-US" w:eastAsia="zh-CN"/>
        </w:rPr>
        <w:t>万</w:t>
      </w:r>
      <w:r>
        <w:rPr>
          <w:rFonts w:hint="eastAsia" w:cs="仿宋_GB2312"/>
          <w:color w:val="000000"/>
          <w:sz w:val="32"/>
          <w:szCs w:val="32"/>
          <w:lang w:val="en-US" w:eastAsia="zh-CN"/>
        </w:rPr>
        <w:t>元</w:t>
      </w:r>
    </w:p>
    <w:p w14:paraId="128E8ADD">
      <w:pPr>
        <w:spacing w:line="400" w:lineRule="exact"/>
        <w:rPr>
          <w:rFonts w:hint="eastAsia" w:ascii="黑体" w:hAnsi="黑体" w:eastAsia="黑体" w:cs="黑体"/>
          <w:szCs w:val="32"/>
        </w:rPr>
        <w:sectPr>
          <w:footerReference r:id="rId5" w:type="default"/>
          <w:pgSz w:w="11906" w:h="16838"/>
          <w:pgMar w:top="1440" w:right="1800" w:bottom="1440" w:left="1800" w:header="851" w:footer="992" w:gutter="0"/>
          <w:cols w:space="425" w:num="1"/>
          <w:docGrid w:type="lines" w:linePitch="312" w:charSpace="0"/>
        </w:sectPr>
      </w:pPr>
    </w:p>
    <w:p w14:paraId="34723D45">
      <w:pPr>
        <w:spacing w:line="400" w:lineRule="exact"/>
        <w:rPr>
          <w:rFonts w:hint="eastAsia" w:ascii="黑体" w:hAnsi="黑体" w:eastAsia="黑体" w:cs="黑体"/>
          <w:szCs w:val="32"/>
          <w:lang w:eastAsia="zh-CN"/>
        </w:rPr>
      </w:pPr>
      <w:r>
        <w:rPr>
          <w:rFonts w:hint="eastAsia" w:ascii="黑体" w:hAnsi="黑体" w:eastAsia="黑体" w:cs="黑体"/>
          <w:szCs w:val="32"/>
        </w:rPr>
        <w:t>榜单</w:t>
      </w:r>
      <w:r>
        <w:rPr>
          <w:rFonts w:hint="eastAsia" w:ascii="黑体" w:hAnsi="黑体" w:eastAsia="黑体" w:cs="黑体"/>
          <w:szCs w:val="32"/>
          <w:lang w:val="en-US" w:eastAsia="zh-CN"/>
        </w:rPr>
        <w:t>4</w:t>
      </w:r>
      <w:r>
        <w:rPr>
          <w:rFonts w:hint="eastAsia" w:ascii="黑体" w:hAnsi="黑体" w:eastAsia="黑体" w:cs="黑体"/>
          <w:szCs w:val="32"/>
          <w:lang w:eastAsia="zh-CN"/>
        </w:rPr>
        <w:t>：超重力反应器制备高性能硫化锂材料技术攻关</w:t>
      </w:r>
    </w:p>
    <w:p w14:paraId="11FCBE7E">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一、</w:t>
      </w:r>
      <w:r>
        <w:rPr>
          <w:rFonts w:hint="eastAsia" w:ascii="黑体" w:hAnsi="黑体" w:eastAsia="黑体" w:cs="黑体"/>
          <w:szCs w:val="32"/>
          <w:lang w:eastAsia="zh-CN"/>
        </w:rPr>
        <w:t>榜单</w:t>
      </w:r>
      <w:r>
        <w:rPr>
          <w:rFonts w:hint="eastAsia" w:ascii="黑体" w:hAnsi="黑体" w:eastAsia="黑体" w:cs="黑体"/>
          <w:szCs w:val="32"/>
        </w:rPr>
        <w:t>需求描述</w:t>
      </w:r>
    </w:p>
    <w:p w14:paraId="05B6D4C3">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针对在传统反应器中制备硫化锂工艺所存在的传质效果差、效率低、反应时间长、产品粒径和粒径分布差等问题，开展超重力反应器制备高性能硫化锂材料技术攻关。内容包括：超重力反应器内多相传质强化规律研究，硫化锂制备中试超重力反应器创制，超重力反应器加工与中试装置搭建，超重力强化硫化锂制备工艺优化，以及超重力法制备硫化锂中试产线投产。</w:t>
      </w:r>
    </w:p>
    <w:p w14:paraId="1D43E2CE">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szCs w:val="32"/>
          <w:lang w:eastAsia="zh-CN"/>
        </w:rPr>
      </w:pPr>
      <w:r>
        <w:rPr>
          <w:rFonts w:hint="eastAsia" w:ascii="黑体" w:hAnsi="黑体" w:eastAsia="黑体" w:cs="黑体"/>
          <w:szCs w:val="32"/>
          <w:lang w:eastAsia="zh-CN"/>
        </w:rPr>
        <w:t>二、考核指标</w:t>
      </w:r>
    </w:p>
    <w:p w14:paraId="66075EE4">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第一阶段：</w:t>
      </w:r>
    </w:p>
    <w:p w14:paraId="0832283C">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1.建立超重力反应器理论设计依据，完成工艺包初步方案;</w:t>
      </w:r>
    </w:p>
    <w:p w14:paraId="7962BBEF">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2.开发现匹配现有产线的模块化超重力反应器原型;</w:t>
      </w:r>
    </w:p>
    <w:p w14:paraId="47BAA407">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3.建立可连续化运行的撬装式中试系统，实现气液反应效率明显优于传统釜式工艺，密封稳定性满足高腐蚀性介质安全标准。</w:t>
      </w:r>
    </w:p>
    <w:p w14:paraId="1AC5B6C6">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第二阶段:</w:t>
      </w:r>
    </w:p>
    <w:p w14:paraId="14E8548C">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1.确立工业化可行的操作窗口，产物纯度达到电池级的材料基础要求，金属杂质控制满足高安全性电池标准;</w:t>
      </w:r>
    </w:p>
    <w:p w14:paraId="0204A246">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2.完成&gt;500小时连续中试生产，单机产能达到工业级示范线设计基准，综合收率行业领先水平;</w:t>
      </w:r>
    </w:p>
    <w:p w14:paraId="3C378700">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3.形成完整工艺控制参数包与设备运维规范非公开技术，并且申请核心工艺专利1项(双方共享)，联合发表论文1-2篇。</w:t>
      </w:r>
    </w:p>
    <w:p w14:paraId="063A78FC">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szCs w:val="32"/>
          <w:lang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Cs w:val="32"/>
          <w:lang w:eastAsia="zh-CN"/>
        </w:rPr>
        <w:t>揭榜方条件</w:t>
      </w:r>
    </w:p>
    <w:p w14:paraId="0CDC77B5">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cs="仿宋_GB2312"/>
          <w:color w:val="000000"/>
          <w:sz w:val="32"/>
          <w:szCs w:val="32"/>
          <w:lang w:val="en-US" w:eastAsia="zh-CN"/>
        </w:rPr>
      </w:pPr>
      <w:r>
        <w:rPr>
          <w:rFonts w:hint="eastAsia" w:cs="仿宋_GB2312"/>
          <w:color w:val="000000"/>
          <w:sz w:val="32"/>
          <w:szCs w:val="32"/>
          <w:lang w:val="en-US" w:eastAsia="zh-CN"/>
        </w:rPr>
        <w:t>揭榜方需长期从事超重力反应器的研究，具有配套科研基础设施，掌握的超重力技术成果在国内或国际具有重要影响，并拥有成功应用转化案例。</w:t>
      </w:r>
    </w:p>
    <w:p w14:paraId="0B91DD44">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四、实施期限及预算投入</w:t>
      </w:r>
    </w:p>
    <w:p w14:paraId="296548A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实施期限：</w:t>
      </w:r>
      <w:r>
        <w:rPr>
          <w:rFonts w:hint="eastAsia" w:ascii="仿宋_GB2312" w:hAnsi="仿宋_GB2312" w:cs="仿宋_GB2312"/>
          <w:color w:val="000000"/>
          <w:sz w:val="32"/>
          <w:szCs w:val="32"/>
          <w:lang w:val="en-US" w:eastAsia="zh-CN"/>
        </w:rPr>
        <w:t>不晚于2027年12月31日</w:t>
      </w:r>
    </w:p>
    <w:p w14:paraId="21017BB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预算投入：</w:t>
      </w:r>
      <w:r>
        <w:rPr>
          <w:rFonts w:hint="eastAsia" w:cs="仿宋_GB2312"/>
          <w:color w:val="000000"/>
          <w:sz w:val="32"/>
          <w:szCs w:val="32"/>
          <w:lang w:val="en-US" w:eastAsia="zh-CN"/>
        </w:rPr>
        <w:t>320</w:t>
      </w:r>
      <w:r>
        <w:rPr>
          <w:rFonts w:hint="eastAsia" w:ascii="仿宋_GB2312" w:hAnsi="仿宋_GB2312" w:eastAsia="仿宋_GB2312" w:cs="仿宋_GB2312"/>
          <w:color w:val="000000"/>
          <w:sz w:val="32"/>
          <w:szCs w:val="32"/>
          <w:lang w:val="en-US" w:eastAsia="zh-CN"/>
        </w:rPr>
        <w:t>万</w:t>
      </w:r>
      <w:r>
        <w:rPr>
          <w:rFonts w:hint="eastAsia" w:cs="仿宋_GB2312"/>
          <w:color w:val="000000"/>
          <w:sz w:val="32"/>
          <w:szCs w:val="32"/>
          <w:lang w:val="en-US" w:eastAsia="zh-CN"/>
        </w:rPr>
        <w:t>元</w:t>
      </w:r>
    </w:p>
    <w:p w14:paraId="5C6441F7">
      <w:pPr>
        <w:rPr>
          <w:rFonts w:hint="eastAsia" w:ascii="黑体" w:hAnsi="黑体" w:eastAsia="黑体" w:cs="黑体"/>
          <w:sz w:val="40"/>
          <w:szCs w:val="40"/>
          <w:lang w:eastAsia="zh-CN"/>
        </w:rPr>
      </w:pPr>
      <w:r>
        <w:rPr>
          <w:rFonts w:hint="eastAsia" w:ascii="黑体" w:hAnsi="黑体" w:eastAsia="黑体" w:cs="黑体"/>
          <w:sz w:val="40"/>
          <w:szCs w:val="40"/>
          <w:lang w:eastAsia="zh-CN"/>
        </w:rPr>
        <w:br w:type="page"/>
      </w:r>
    </w:p>
    <w:p w14:paraId="413D4878">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黑体" w:hAnsi="黑体" w:eastAsia="黑体" w:cs="黑体"/>
          <w:szCs w:val="32"/>
        </w:rPr>
      </w:pPr>
      <w:r>
        <w:rPr>
          <w:rFonts w:hint="eastAsia" w:ascii="黑体" w:hAnsi="黑体" w:eastAsia="黑体" w:cs="黑体"/>
          <w:sz w:val="40"/>
          <w:szCs w:val="40"/>
          <w:lang w:eastAsia="zh-CN"/>
        </w:rPr>
        <w:t>成果转化类</w:t>
      </w:r>
    </w:p>
    <w:p w14:paraId="697C5CCA">
      <w:pPr>
        <w:spacing w:line="400" w:lineRule="exact"/>
        <w:rPr>
          <w:rFonts w:hint="eastAsia" w:ascii="黑体" w:hAnsi="黑体" w:eastAsia="黑体" w:cs="黑体"/>
          <w:szCs w:val="32"/>
          <w:lang w:eastAsia="zh-CN"/>
        </w:rPr>
      </w:pPr>
      <w:r>
        <w:rPr>
          <w:rFonts w:hint="eastAsia" w:ascii="黑体" w:hAnsi="黑体" w:eastAsia="黑体" w:cs="黑体"/>
          <w:szCs w:val="32"/>
        </w:rPr>
        <w:t>榜单</w:t>
      </w:r>
      <w:r>
        <w:rPr>
          <w:rFonts w:hint="eastAsia" w:ascii="黑体" w:hAnsi="黑体" w:eastAsia="黑体" w:cs="黑体"/>
          <w:szCs w:val="32"/>
          <w:lang w:val="en-US" w:eastAsia="zh-CN"/>
        </w:rPr>
        <w:t>5</w:t>
      </w:r>
      <w:r>
        <w:rPr>
          <w:rFonts w:hint="eastAsia" w:ascii="黑体" w:hAnsi="黑体" w:eastAsia="黑体" w:cs="黑体"/>
          <w:szCs w:val="32"/>
          <w:lang w:eastAsia="zh-CN"/>
        </w:rPr>
        <w:t>：中医骨健康评估与人工智能诊疗技术</w:t>
      </w:r>
    </w:p>
    <w:p w14:paraId="2EF4B02C">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ascii="黑体" w:hAnsi="黑体" w:eastAsia="黑体" w:cs="黑体"/>
          <w:szCs w:val="32"/>
        </w:rPr>
      </w:pPr>
      <w:r>
        <w:rPr>
          <w:rFonts w:hint="eastAsia" w:ascii="黑体" w:hAnsi="黑体" w:eastAsia="黑体" w:cs="黑体"/>
          <w:szCs w:val="32"/>
        </w:rPr>
        <w:t>一、</w:t>
      </w:r>
      <w:r>
        <w:rPr>
          <w:rFonts w:hint="eastAsia" w:ascii="黑体" w:hAnsi="黑体" w:eastAsia="黑体" w:cs="黑体"/>
          <w:szCs w:val="32"/>
          <w:lang w:eastAsia="zh-CN"/>
        </w:rPr>
        <w:t>榜单</w:t>
      </w:r>
      <w:r>
        <w:rPr>
          <w:rFonts w:hint="eastAsia" w:ascii="黑体" w:hAnsi="黑体" w:eastAsia="黑体" w:cs="黑体"/>
          <w:szCs w:val="32"/>
        </w:rPr>
        <w:t>需求描述</w:t>
      </w:r>
    </w:p>
    <w:p w14:paraId="1DDE9178">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本项目旨在转化自主研制的中医骨健康大模型及相关智能产品，形成覆盖骨病全周期管理的AI技术体系与产业化应用方案。具体内容包括：</w:t>
      </w:r>
    </w:p>
    <w:p w14:paraId="5D2601CC">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1.研发覆盖骨病预防、早期诊断、精准治疗和预后康复的全周期人工智能技术，基于大型“证病结合”人群队列，跨尺度关联宏观、中观和微观表型，系统构建骨病防治人工智能技术体系；</w:t>
      </w:r>
    </w:p>
    <w:p w14:paraId="2BDA1578">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2.研发自主可控的中医骨健康大模型，构建覆盖常见骨健康领域的中医知识体系，结合多模态数据融合分析方法，优化领域知识增强训练与小样本学习推理模型，结合名老中医经验校正模型结果；</w:t>
      </w:r>
    </w:p>
    <w:p w14:paraId="6AA325DA">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3.研制中医骨健康大模型相关智能产品，制定产业化方案，推动在三甲中医院试点应用，辅助诊疗与经验传承，并推动产品下沉社区。</w:t>
      </w:r>
    </w:p>
    <w:p w14:paraId="76C22D07">
      <w:pPr>
        <w:keepNext w:val="0"/>
        <w:keepLines w:val="0"/>
        <w:pageBreakBefore w:val="0"/>
        <w:widowControl w:val="0"/>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szCs w:val="32"/>
          <w:lang w:eastAsia="zh-CN"/>
        </w:rPr>
      </w:pPr>
      <w:r>
        <w:rPr>
          <w:rFonts w:hint="eastAsia" w:ascii="黑体" w:hAnsi="黑体" w:eastAsia="黑体" w:cs="黑体"/>
          <w:szCs w:val="32"/>
          <w:lang w:eastAsia="zh-CN"/>
        </w:rPr>
        <w:t>二、考核指标</w:t>
      </w:r>
    </w:p>
    <w:p w14:paraId="02523C84">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1.中医骨健康人工智能推理技术水平</w:t>
      </w:r>
    </w:p>
    <w:p w14:paraId="6C45E0B4">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①多模态诊疗数据融合精度≥85%，医疗常用信息覆盖率≥80%；</w:t>
      </w:r>
    </w:p>
    <w:p w14:paraId="19DBF993">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②构建中医知识体系，覆盖80%以上慢性骨病诊疗要素的骨健康领域知识，健康知识推理准确率≥85%；</w:t>
      </w:r>
    </w:p>
    <w:p w14:paraId="3A33D8DB">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③大模型生成内容准确度≥85%，医学认可度≥85%。</w:t>
      </w:r>
    </w:p>
    <w:p w14:paraId="44C0D6C8">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2.研发不少于3款智能产品并产生显著的经济效益</w:t>
      </w:r>
    </w:p>
    <w:p w14:paraId="3F947C70">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3.取得显著的市场应用示范效应</w:t>
      </w:r>
    </w:p>
    <w:p w14:paraId="2D907F1D">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①在至少2家三甲中医院（含嘉定区1家）完成试点应用；</w:t>
      </w:r>
    </w:p>
    <w:p w14:paraId="723CEEF1">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②智能产品覆盖不少于11家社区医院（占比50%）及50%以上社区居民；</w:t>
      </w:r>
    </w:p>
    <w:p w14:paraId="01A26795">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lang w:val="en-US" w:eastAsia="zh-CN"/>
        </w:rPr>
      </w:pPr>
      <w:r>
        <w:rPr>
          <w:rFonts w:hint="eastAsia"/>
          <w:lang w:val="en-US" w:eastAsia="zh-CN"/>
        </w:rPr>
        <w:t>③省外服务患者数不少于10万人</w:t>
      </w:r>
    </w:p>
    <w:p w14:paraId="03B18230">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szCs w:val="32"/>
          <w:lang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Cs w:val="32"/>
          <w:lang w:eastAsia="zh-CN"/>
        </w:rPr>
        <w:t>揭榜方条件</w:t>
      </w:r>
    </w:p>
    <w:p w14:paraId="20B4BC0A">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cs="仿宋_GB2312"/>
          <w:color w:val="000000"/>
          <w:sz w:val="32"/>
          <w:szCs w:val="32"/>
          <w:lang w:val="en-US" w:eastAsia="zh-CN"/>
        </w:rPr>
      </w:pPr>
      <w:r>
        <w:rPr>
          <w:rFonts w:hint="eastAsia" w:cs="仿宋_GB2312"/>
          <w:color w:val="000000"/>
          <w:sz w:val="32"/>
          <w:szCs w:val="32"/>
          <w:lang w:val="en-US" w:eastAsia="zh-CN"/>
        </w:rPr>
        <w:t>1.具备大模型数据治理、行业迁移和场景定制研发能力，可提供从模型到应用的一体化托管平台；</w:t>
      </w:r>
    </w:p>
    <w:p w14:paraId="606668C9">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cs="仿宋_GB2312"/>
          <w:color w:val="000000"/>
          <w:sz w:val="32"/>
          <w:szCs w:val="32"/>
          <w:lang w:val="en-US" w:eastAsia="zh-CN"/>
        </w:rPr>
      </w:pPr>
      <w:r>
        <w:rPr>
          <w:rFonts w:hint="eastAsia" w:cs="仿宋_GB2312"/>
          <w:color w:val="000000"/>
          <w:sz w:val="32"/>
          <w:szCs w:val="32"/>
          <w:lang w:val="en-US" w:eastAsia="zh-CN"/>
        </w:rPr>
        <w:t>2.具备全栈自主可控和推动产业链发展的能力。</w:t>
      </w:r>
    </w:p>
    <w:p w14:paraId="574E5677">
      <w:pPr>
        <w:keepNext w:val="0"/>
        <w:keepLines w:val="0"/>
        <w:pageBreakBefore w:val="0"/>
        <w:widowControl w:val="0"/>
        <w:numPr>
          <w:ilvl w:val="0"/>
          <w:numId w:val="0"/>
        </w:numPr>
        <w:tabs>
          <w:tab w:val="center" w:pos="4153"/>
        </w:tabs>
        <w:kinsoku/>
        <w:wordWrap/>
        <w:overflowPunct w:val="0"/>
        <w:topLinePunct w:val="0"/>
        <w:autoSpaceDE/>
        <w:autoSpaceDN/>
        <w:bidi w:val="0"/>
        <w:adjustRightInd w:val="0"/>
        <w:snapToGrid w:val="0"/>
        <w:spacing w:line="600" w:lineRule="exact"/>
        <w:ind w:firstLine="640" w:firstLineChars="200"/>
        <w:textAlignment w:val="auto"/>
        <w:outlineLvl w:val="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四、实施期限及预算投入</w:t>
      </w:r>
    </w:p>
    <w:p w14:paraId="166256B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rPr>
          <w:rFonts w:hint="eastAsia" w:ascii="仿宋_GB2312" w:hAnsi="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实施期限：</w:t>
      </w:r>
      <w:r>
        <w:rPr>
          <w:rFonts w:hint="eastAsia" w:ascii="仿宋_GB2312" w:hAnsi="仿宋_GB2312" w:cs="仿宋_GB2312"/>
          <w:color w:val="000000"/>
          <w:sz w:val="32"/>
          <w:szCs w:val="32"/>
          <w:lang w:val="en-US" w:eastAsia="zh-CN"/>
        </w:rPr>
        <w:t>不晚于2027年12月31日</w:t>
      </w:r>
    </w:p>
    <w:p w14:paraId="3FE5157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top"/>
      </w:pPr>
      <w:r>
        <w:rPr>
          <w:rFonts w:hint="eastAsia" w:ascii="仿宋_GB2312" w:hAnsi="仿宋_GB2312" w:eastAsia="仿宋_GB2312" w:cs="仿宋_GB2312"/>
          <w:color w:val="000000"/>
          <w:sz w:val="32"/>
          <w:szCs w:val="32"/>
          <w:lang w:val="en-US" w:eastAsia="zh-CN"/>
        </w:rPr>
        <w:t>预算投入：</w:t>
      </w:r>
      <w:r>
        <w:rPr>
          <w:rFonts w:hint="eastAsia" w:cs="仿宋_GB2312"/>
          <w:color w:val="000000"/>
          <w:sz w:val="32"/>
          <w:szCs w:val="32"/>
          <w:lang w:val="en-US" w:eastAsia="zh-CN"/>
        </w:rPr>
        <w:t>预计1000</w:t>
      </w:r>
      <w:r>
        <w:rPr>
          <w:rFonts w:hint="eastAsia" w:ascii="仿宋_GB2312" w:hAnsi="仿宋_GB2312" w:eastAsia="仿宋_GB2312" w:cs="仿宋_GB2312"/>
          <w:color w:val="000000"/>
          <w:sz w:val="32"/>
          <w:szCs w:val="32"/>
          <w:lang w:val="en-US" w:eastAsia="zh-CN"/>
        </w:rPr>
        <w:t>万</w:t>
      </w:r>
      <w:r>
        <w:rPr>
          <w:rFonts w:hint="eastAsia" w:cs="仿宋_GB2312"/>
          <w:color w:val="000000"/>
          <w:sz w:val="32"/>
          <w:szCs w:val="32"/>
          <w:lang w:val="en-US" w:eastAsia="zh-CN"/>
        </w:rPr>
        <w:t>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625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A68C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9A68C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24953"/>
    <w:rsid w:val="08A41020"/>
    <w:rsid w:val="0C564D28"/>
    <w:rsid w:val="19216AC6"/>
    <w:rsid w:val="1F0B19A2"/>
    <w:rsid w:val="27F24953"/>
    <w:rsid w:val="2A45052D"/>
    <w:rsid w:val="35DC4203"/>
    <w:rsid w:val="3AAB6C4F"/>
    <w:rsid w:val="4BA6642B"/>
    <w:rsid w:val="56C91E0E"/>
    <w:rsid w:val="59367040"/>
    <w:rsid w:val="6E160D96"/>
    <w:rsid w:val="7174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360" w:lineRule="auto"/>
      <w:jc w:val="both"/>
    </w:pPr>
    <w:rPr>
      <w:rFonts w:ascii="仿宋_GB2312" w:hAnsi="仿宋_GB2312"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3135</Words>
  <Characters>3357</Characters>
  <Lines>0</Lines>
  <Paragraphs>0</Paragraphs>
  <TotalTime>11</TotalTime>
  <ScaleCrop>false</ScaleCrop>
  <LinksUpToDate>false</LinksUpToDate>
  <CharactersWithSpaces>3373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2025-08-20T10:24:00Z</dcterms:created>
  <dc:creator>zanye</dc:creator>
  <cp:lastModifiedBy>zanye</cp:lastModifiedBy>
  <dcterms:modified xsi:type="dcterms:W3CDTF">2025-08-25T03:15:47Z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38B8FAD69FC542FEB07663C25F3FA50F_11</vt:lpwstr>
  </property>
  <property fmtid="{D5CDD505-2E9C-101B-9397-08002B2CF9AE}" pid="4" name="KSOTemplateDocerSaveRecord">
    <vt:lpwstr>eyJoZGlkIjoiM2E0YzljMGRjNzVhMjVlMzZiZGJlMThlMzExNzNiMGUiLCJ1c2VySWQiOiIxMzA0MDY1MjQ0In0=</vt:lpwstr>
  </property>
</Properties>
</file>