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06CEE" w14:textId="77777777" w:rsidR="000B2D71" w:rsidRDefault="00000000">
      <w:pPr>
        <w:spacing w:line="240" w:lineRule="auto"/>
        <w:ind w:firstLineChars="0" w:firstLine="0"/>
        <w:jc w:val="center"/>
        <w:rPr>
          <w:rFonts w:ascii="黑体" w:eastAsia="黑体" w:hAnsi="黑体" w:cs="宋体"/>
          <w:b/>
          <w:color w:val="333333"/>
          <w:kern w:val="0"/>
          <w:sz w:val="36"/>
          <w:szCs w:val="36"/>
        </w:rPr>
      </w:pPr>
      <w:r>
        <w:rPr>
          <w:rFonts w:ascii="黑体" w:eastAsia="黑体" w:hAnsi="黑体" w:cs="宋体" w:hint="eastAsia"/>
          <w:b/>
          <w:color w:val="333333"/>
          <w:kern w:val="0"/>
          <w:sz w:val="36"/>
          <w:szCs w:val="36"/>
        </w:rPr>
        <w:t>关于《嘉定区科技小巨人企业认</w:t>
      </w:r>
      <w:r>
        <w:rPr>
          <w:rFonts w:ascii="黑体" w:eastAsia="黑体" w:hAnsi="黑体" w:cs="___WRD_EMBED_SUB_46" w:hint="eastAsia"/>
          <w:b/>
          <w:color w:val="333333"/>
          <w:kern w:val="0"/>
          <w:sz w:val="36"/>
          <w:szCs w:val="36"/>
        </w:rPr>
        <w:t>定管理</w:t>
      </w:r>
      <w:r>
        <w:rPr>
          <w:rFonts w:ascii="黑体" w:eastAsia="黑体" w:hAnsi="黑体" w:cs="宋体" w:hint="eastAsia"/>
          <w:b/>
          <w:color w:val="333333"/>
          <w:kern w:val="0"/>
          <w:sz w:val="36"/>
          <w:szCs w:val="36"/>
        </w:rPr>
        <w:t>实施细则》修订情况的说明</w:t>
      </w:r>
    </w:p>
    <w:p w14:paraId="3CFFD3EF" w14:textId="77777777" w:rsidR="000B2D71" w:rsidRDefault="00000000">
      <w:pPr>
        <w:ind w:firstLine="640"/>
        <w:rPr>
          <w:rFonts w:ascii="仿宋_GB2312" w:hAnsi="new" w:cs="仿宋_GB2312"/>
        </w:rPr>
      </w:pPr>
      <w:r>
        <w:rPr>
          <w:rFonts w:ascii="仿宋_GB2312" w:hAnsi="Arial" w:cs="Arial" w:hint="eastAsia"/>
          <w:color w:val="000000"/>
        </w:rPr>
        <w:t>为大力实施创新驱动转型发展战略，进一步推动高新技术企业自主创新，提高企业核心竞争力，打造一批具有国内外行业竞争优势的科技小巨人企业，促进区域战略性新兴产业高质量发展，加快推进科创中心重要承载区建设，依据《上海市科技小巨人工程实施办法》（沪科规〔2021〕12号）的文件精神，</w:t>
      </w:r>
      <w:r>
        <w:rPr>
          <w:rFonts w:ascii="仿宋_GB2312" w:hAnsi="new" w:cs="仿宋_GB2312" w:hint="eastAsia"/>
        </w:rPr>
        <w:t>结合实际情况，对2020年发布的《嘉定区科技小巨人企业认定管理实施细则（试行）》（嘉科〔2020〕29号）</w:t>
      </w:r>
      <w:r>
        <w:rPr>
          <w:rFonts w:ascii="仿宋_GB2312" w:hint="eastAsia"/>
          <w:color w:val="000000"/>
        </w:rPr>
        <w:t>进行修订，现</w:t>
      </w:r>
      <w:r>
        <w:rPr>
          <w:rFonts w:ascii="仿宋_GB2312" w:hAnsi="new" w:cs="仿宋_GB2312" w:hint="eastAsia"/>
        </w:rPr>
        <w:t>起草《嘉定区科技小巨人企业认定管理实施细则》。</w:t>
      </w:r>
    </w:p>
    <w:p w14:paraId="3D7239D6" w14:textId="77777777" w:rsidR="000B2D71" w:rsidRDefault="00000000">
      <w:pPr>
        <w:ind w:firstLine="640"/>
        <w:rPr>
          <w:rFonts w:ascii="黑体" w:eastAsia="黑体" w:hAnsi="黑体"/>
        </w:rPr>
      </w:pPr>
      <w:r>
        <w:rPr>
          <w:rFonts w:ascii="黑体" w:eastAsia="黑体" w:hAnsi="黑体" w:hint="eastAsia"/>
        </w:rPr>
        <w:t>一、修订原则</w:t>
      </w:r>
    </w:p>
    <w:p w14:paraId="6221A18E" w14:textId="77777777" w:rsidR="000B2D71" w:rsidRDefault="00000000">
      <w:pPr>
        <w:ind w:firstLine="640"/>
        <w:rPr>
          <w:rFonts w:ascii="仿宋_GB2312" w:hAnsi="new" w:cs="仿宋_GB2312"/>
        </w:rPr>
      </w:pPr>
      <w:r>
        <w:rPr>
          <w:rFonts w:ascii="仿宋_GB2312" w:hAnsi="new" w:cs="仿宋_GB2312" w:hint="eastAsia"/>
        </w:rPr>
        <w:t>原《嘉定区科技小巨人企业认定管理实施细则（试行）》（嘉科〔2020〕29号）</w:t>
      </w:r>
      <w:r>
        <w:rPr>
          <w:rFonts w:ascii="仿宋_GB2312" w:hint="eastAsia"/>
          <w:color w:val="000000"/>
        </w:rPr>
        <w:t>于2020年11月27日发布，由于</w:t>
      </w:r>
      <w:r>
        <w:rPr>
          <w:rFonts w:ascii="仿宋_GB2312" w:hAnsi="仿宋" w:hint="eastAsia"/>
          <w:color w:val="000000"/>
        </w:rPr>
        <w:t>《嘉定区推进“小巨人计划”奖励办法》（嘉经资</w:t>
      </w:r>
      <w:r>
        <w:rPr>
          <w:rFonts w:ascii="仿宋_GB2312" w:hAnsi="new" w:cs="仿宋_GB2312" w:hint="eastAsia"/>
        </w:rPr>
        <w:t>〔2020〕</w:t>
      </w:r>
      <w:r>
        <w:rPr>
          <w:rFonts w:ascii="仿宋_GB2312" w:hAnsi="仿宋" w:hint="eastAsia"/>
          <w:color w:val="000000"/>
        </w:rPr>
        <w:t>6号）2024年将废止，为确保区科技小巨人工作顺利推进，拟对</w:t>
      </w:r>
      <w:r>
        <w:rPr>
          <w:rFonts w:ascii="仿宋_GB2312" w:hAnsi="new" w:cs="仿宋_GB2312" w:hint="eastAsia"/>
        </w:rPr>
        <w:t>区科技小巨人企业认定管理实施细则进行修订</w:t>
      </w:r>
      <w:r>
        <w:rPr>
          <w:rFonts w:ascii="仿宋_GB2312" w:hAnsi="仿宋" w:cs="仿宋" w:hint="eastAsia"/>
        </w:rPr>
        <w:t>。为大力实施创新驱动战略，加快建设上海科创中心重要承载区，激发中小企业创新活力，营造良好创新创业生态，提升企业自身创新能力和综合实力，加强企业核心竞争力，培育和打造一批具有国内外行业竞争优势的科技小巨人企业，</w:t>
      </w:r>
      <w:r>
        <w:rPr>
          <w:rFonts w:ascii="仿宋_GB2312" w:hint="eastAsia"/>
        </w:rPr>
        <w:t>现对原管理办法进行修订</w:t>
      </w:r>
      <w:r>
        <w:rPr>
          <w:rFonts w:ascii="仿宋_GB2312" w:hAnsi="new" w:cs="仿宋_GB2312" w:hint="eastAsia"/>
        </w:rPr>
        <w:t>。该实施细则由总则、支持对象与条件、支持方式、申领与受理、评审与认定、监督管理、附则等七部分组成，</w:t>
      </w:r>
      <w:r>
        <w:rPr>
          <w:rFonts w:ascii="仿宋_GB2312" w:hAnsi="new" w:cs="仿宋_GB2312" w:hint="eastAsia"/>
        </w:rPr>
        <w:lastRenderedPageBreak/>
        <w:t>对上海市科技小巨人（培育）企业、区科技小巨人企业的支持方式，嘉定区科技小巨人企业与上海市科技小巨人（培育）企业申报工作同步实施，区科委每年度向社会公开发布申报通知，企业在申报上海市科技小巨人企业或科技小巨人培育企业时已默认申报嘉定区科技小巨人企业，通过评审、公示和复审后认定完成，区财政给予资助，这次修订《嘉定区科技小巨人企业认定管理实施细则》坚持以下四项原则：</w:t>
      </w:r>
    </w:p>
    <w:p w14:paraId="3F3FA41F" w14:textId="77777777" w:rsidR="000B2D71" w:rsidRDefault="00000000">
      <w:pPr>
        <w:spacing w:line="580" w:lineRule="exact"/>
        <w:ind w:firstLine="643"/>
        <w:rPr>
          <w:rFonts w:ascii="仿宋_GB2312"/>
          <w:bCs/>
          <w:color w:val="000000" w:themeColor="text1"/>
        </w:rPr>
      </w:pPr>
      <w:r>
        <w:rPr>
          <w:rFonts w:ascii="仿宋_GB2312" w:hint="eastAsia"/>
          <w:b/>
          <w:color w:val="000000" w:themeColor="text1"/>
        </w:rPr>
        <w:t>1.</w:t>
      </w:r>
      <w:r>
        <w:rPr>
          <w:rFonts w:hint="eastAsia"/>
          <w:color w:val="000000" w:themeColor="text1"/>
        </w:rPr>
        <w:t xml:space="preserve"> </w:t>
      </w:r>
      <w:r>
        <w:rPr>
          <w:rFonts w:ascii="仿宋_GB2312" w:hint="eastAsia"/>
          <w:b/>
          <w:color w:val="000000" w:themeColor="text1"/>
        </w:rPr>
        <w:t>公平原则。</w:t>
      </w:r>
      <w:r>
        <w:rPr>
          <w:rFonts w:ascii="仿宋_GB2312" w:hint="eastAsia"/>
          <w:bCs/>
          <w:color w:val="000000" w:themeColor="text1"/>
        </w:rPr>
        <w:t>坚持公平原则，保障政策的公正性、透明度和公开性，注重依法依规、客观公正执行政策，切实维护科技企业的利益，提高政策执行的公信力。</w:t>
      </w:r>
    </w:p>
    <w:p w14:paraId="07880372" w14:textId="77777777" w:rsidR="000B2D71" w:rsidRDefault="00000000">
      <w:pPr>
        <w:spacing w:line="580" w:lineRule="exact"/>
        <w:ind w:firstLine="643"/>
        <w:rPr>
          <w:rFonts w:ascii="仿宋_GB2312"/>
          <w:bCs/>
          <w:color w:val="000000" w:themeColor="text1"/>
        </w:rPr>
      </w:pPr>
      <w:r>
        <w:rPr>
          <w:rFonts w:ascii="仿宋_GB2312" w:hint="eastAsia"/>
          <w:b/>
          <w:color w:val="000000" w:themeColor="text1"/>
        </w:rPr>
        <w:t>2.</w:t>
      </w:r>
      <w:r>
        <w:rPr>
          <w:rFonts w:hint="eastAsia"/>
          <w:color w:val="000000" w:themeColor="text1"/>
        </w:rPr>
        <w:t xml:space="preserve"> </w:t>
      </w:r>
      <w:r>
        <w:rPr>
          <w:rFonts w:ascii="仿宋_GB2312" w:hint="eastAsia"/>
          <w:b/>
          <w:color w:val="000000" w:themeColor="text1"/>
        </w:rPr>
        <w:t>审慎原则：</w:t>
      </w:r>
      <w:r>
        <w:rPr>
          <w:rFonts w:ascii="仿宋_GB2312" w:hint="eastAsia"/>
          <w:bCs/>
          <w:color w:val="000000" w:themeColor="text1"/>
        </w:rPr>
        <w:t>审慎地制定和审查，注重对政策的合理性、可操作性和可控性进行全面评估，确保政策的科学性和有效性。</w:t>
      </w:r>
    </w:p>
    <w:p w14:paraId="07F8D926" w14:textId="77777777" w:rsidR="000B2D71" w:rsidRDefault="00000000">
      <w:pPr>
        <w:ind w:firstLine="643"/>
        <w:rPr>
          <w:rFonts w:ascii="仿宋_GB2312"/>
          <w:b/>
          <w:color w:val="000000" w:themeColor="text1"/>
        </w:rPr>
      </w:pPr>
      <w:r>
        <w:rPr>
          <w:rFonts w:ascii="仿宋_GB2312" w:hint="eastAsia"/>
          <w:b/>
          <w:color w:val="000000" w:themeColor="text1"/>
        </w:rPr>
        <w:t>3. 创新原则：</w:t>
      </w:r>
      <w:r>
        <w:rPr>
          <w:rFonts w:ascii="仿宋_GB2312" w:hint="eastAsia"/>
          <w:bCs/>
          <w:color w:val="000000" w:themeColor="text1"/>
        </w:rPr>
        <w:t>坚持创新原则，注重支持科技小巨人企业加强科技创新，深入推进企业知识产权保护、科技成果转化等创新复制的发展，与国际先进科技发展步伐保持同步。</w:t>
      </w:r>
    </w:p>
    <w:p w14:paraId="70AF4B23" w14:textId="77777777" w:rsidR="000B2D71" w:rsidRDefault="00000000">
      <w:pPr>
        <w:ind w:firstLine="643"/>
        <w:rPr>
          <w:rFonts w:ascii="仿宋_GB2312" w:hAnsi="new" w:cs="仿宋_GB2312"/>
          <w:color w:val="000000" w:themeColor="text1"/>
        </w:rPr>
      </w:pPr>
      <w:r>
        <w:rPr>
          <w:rFonts w:ascii="仿宋_GB2312" w:hint="eastAsia"/>
          <w:b/>
          <w:color w:val="000000" w:themeColor="text1"/>
        </w:rPr>
        <w:t>4. 服务原则：</w:t>
      </w:r>
      <w:r>
        <w:rPr>
          <w:rFonts w:ascii="仿宋_GB2312" w:hint="eastAsia"/>
          <w:bCs/>
          <w:color w:val="000000" w:themeColor="text1"/>
        </w:rPr>
        <w:t>坚持服务原则，通过制定完善的政策体系和实施措施，加强对科技小巨人企业的服务和支持，提高政策实施的针对性和实效性。加强合作、交流和沟通，与科技小巨人企业建立良好的互动机制，共同推进区域创新与发展。</w:t>
      </w:r>
    </w:p>
    <w:p w14:paraId="0FE270BC" w14:textId="77777777" w:rsidR="000B2D71" w:rsidRDefault="00000000">
      <w:pPr>
        <w:ind w:firstLine="640"/>
        <w:rPr>
          <w:rFonts w:ascii="黑体" w:eastAsia="黑体" w:hAnsi="黑体"/>
        </w:rPr>
      </w:pPr>
      <w:r>
        <w:rPr>
          <w:rFonts w:ascii="黑体" w:eastAsia="黑体" w:hAnsi="黑体" w:hint="eastAsia"/>
        </w:rPr>
        <w:t>二、编制过程</w:t>
      </w:r>
    </w:p>
    <w:p w14:paraId="7D0B88E0" w14:textId="77777777" w:rsidR="000B2D71" w:rsidRDefault="00000000">
      <w:pPr>
        <w:ind w:firstLine="643"/>
        <w:rPr>
          <w:rFonts w:ascii="仿宋_GB2312"/>
        </w:rPr>
      </w:pPr>
      <w:r>
        <w:rPr>
          <w:rFonts w:ascii="仿宋_GB2312" w:hint="eastAsia"/>
          <w:b/>
        </w:rPr>
        <w:t>1.前期研究。</w:t>
      </w:r>
      <w:r>
        <w:rPr>
          <w:rFonts w:ascii="仿宋_GB2312" w:hint="eastAsia"/>
        </w:rPr>
        <w:t>2023年10月至12月，开展调研，搜集资料，先后学习上海市市级科技小巨人政策、浦东新区、闵行</w:t>
      </w:r>
      <w:r>
        <w:rPr>
          <w:rFonts w:ascii="仿宋_GB2312" w:hint="eastAsia"/>
        </w:rPr>
        <w:lastRenderedPageBreak/>
        <w:t>区、青浦区等科技小巨人政策，在政策发展方面好的经验和做法，在此基础上，形成管理办法的结构框架。</w:t>
      </w:r>
    </w:p>
    <w:p w14:paraId="3E8EFC80" w14:textId="77777777" w:rsidR="000B2D71" w:rsidRDefault="00000000">
      <w:pPr>
        <w:ind w:firstLine="643"/>
        <w:rPr>
          <w:rFonts w:ascii="仿宋_GB2312"/>
        </w:rPr>
      </w:pPr>
      <w:r>
        <w:rPr>
          <w:rFonts w:ascii="仿宋_GB2312" w:hint="eastAsia"/>
          <w:b/>
        </w:rPr>
        <w:t>2.文本起草。</w:t>
      </w:r>
      <w:r>
        <w:rPr>
          <w:rFonts w:ascii="仿宋_GB2312" w:hint="eastAsia"/>
        </w:rPr>
        <w:t>2024年1月至3月，形成管理办法提纲，经多次讨论，反复修改。2024年</w:t>
      </w:r>
      <w:r>
        <w:rPr>
          <w:rFonts w:ascii="仿宋_GB2312"/>
        </w:rPr>
        <w:t>4</w:t>
      </w:r>
      <w:r>
        <w:rPr>
          <w:rFonts w:ascii="仿宋_GB2312" w:hint="eastAsia"/>
        </w:rPr>
        <w:t>月形成征求意见稿。</w:t>
      </w:r>
    </w:p>
    <w:p w14:paraId="0E798F8C" w14:textId="77777777" w:rsidR="000B2D71" w:rsidRDefault="00000000">
      <w:pPr>
        <w:ind w:firstLine="643"/>
        <w:rPr>
          <w:rFonts w:ascii="仿宋_GB2312" w:hAnsi="黑体" w:cs="仿宋_GB2312"/>
        </w:rPr>
      </w:pPr>
      <w:r>
        <w:rPr>
          <w:rFonts w:ascii="仿宋_GB2312" w:hint="eastAsia"/>
          <w:b/>
        </w:rPr>
        <w:t>3.征求意见。</w:t>
      </w:r>
      <w:r>
        <w:rPr>
          <w:rFonts w:ascii="仿宋_GB2312" w:hint="eastAsia"/>
        </w:rPr>
        <w:t>2024年</w:t>
      </w:r>
      <w:r>
        <w:rPr>
          <w:rFonts w:ascii="仿宋_GB2312"/>
        </w:rPr>
        <w:t>4</w:t>
      </w:r>
      <w:r>
        <w:rPr>
          <w:rFonts w:ascii="仿宋_GB2312" w:hint="eastAsia"/>
        </w:rPr>
        <w:t>月至</w:t>
      </w:r>
      <w:r>
        <w:rPr>
          <w:rFonts w:ascii="仿宋_GB2312"/>
        </w:rPr>
        <w:t>5</w:t>
      </w:r>
      <w:r>
        <w:rPr>
          <w:rFonts w:ascii="仿宋_GB2312" w:hint="eastAsia"/>
        </w:rPr>
        <w:t>月，先后征求了</w:t>
      </w:r>
      <w:r>
        <w:rPr>
          <w:rFonts w:ascii="仿宋_GB2312" w:hAnsi="黑体" w:cs="仿宋_GB2312" w:hint="eastAsia"/>
        </w:rPr>
        <w:t>各街镇意见，共征询到</w:t>
      </w:r>
      <w:r>
        <w:rPr>
          <w:rFonts w:ascii="仿宋_GB2312" w:hAnsi="黑体" w:cs="仿宋_GB2312"/>
        </w:rPr>
        <w:t>7</w:t>
      </w:r>
      <w:r>
        <w:rPr>
          <w:rFonts w:ascii="仿宋_GB2312" w:hAnsi="黑体" w:cs="仿宋_GB2312" w:hint="eastAsia"/>
        </w:rPr>
        <w:t>余条意见或修改建议，酌情采纳，在此基础上进一步完善内容，形成送审稿。</w:t>
      </w:r>
    </w:p>
    <w:p w14:paraId="6884A78D" w14:textId="77777777" w:rsidR="000B2D71" w:rsidRDefault="00000000">
      <w:pPr>
        <w:ind w:firstLine="640"/>
        <w:rPr>
          <w:rFonts w:ascii="黑体" w:eastAsia="黑体" w:hAnsi="黑体"/>
        </w:rPr>
      </w:pPr>
      <w:r>
        <w:rPr>
          <w:rFonts w:ascii="黑体" w:eastAsia="黑体" w:hAnsi="黑体" w:hint="eastAsia"/>
        </w:rPr>
        <w:t>三、《嘉定区科技小巨人企业认定管理实施细则》主要内容</w:t>
      </w:r>
    </w:p>
    <w:p w14:paraId="441CC72E" w14:textId="77777777" w:rsidR="000B2D71" w:rsidRDefault="00000000">
      <w:pPr>
        <w:ind w:firstLine="640"/>
        <w:rPr>
          <w:rFonts w:ascii="黑体" w:eastAsia="黑体" w:hAnsi="黑体"/>
        </w:rPr>
      </w:pPr>
      <w:r>
        <w:rPr>
          <w:rFonts w:ascii="仿宋_GB2312" w:hAnsi="黑体" w:cs="仿宋_GB2312" w:hint="eastAsia"/>
        </w:rPr>
        <w:t>《</w:t>
      </w:r>
      <w:r>
        <w:rPr>
          <w:rFonts w:ascii="黑体" w:eastAsia="黑体" w:hAnsi="黑体" w:hint="eastAsia"/>
        </w:rPr>
        <w:t>嘉定区科技小巨人企业认定管理实施细则</w:t>
      </w:r>
      <w:r>
        <w:rPr>
          <w:rFonts w:ascii="仿宋_GB2312" w:hAnsi="黑体" w:cs="仿宋_GB2312" w:hint="eastAsia"/>
        </w:rPr>
        <w:t>》共有七章十三条内容：</w:t>
      </w:r>
    </w:p>
    <w:p w14:paraId="1F120C53" w14:textId="77777777" w:rsidR="000B2D71" w:rsidRDefault="00000000">
      <w:pPr>
        <w:ind w:firstLine="643"/>
        <w:rPr>
          <w:rFonts w:ascii="仿宋_GB2312"/>
        </w:rPr>
      </w:pPr>
      <w:r>
        <w:rPr>
          <w:rFonts w:ascii="仿宋_GB2312" w:hAnsi="黑体" w:cs="仿宋_GB2312" w:hint="eastAsia"/>
          <w:b/>
        </w:rPr>
        <w:t>1.总则。</w:t>
      </w:r>
      <w:r>
        <w:rPr>
          <w:rFonts w:ascii="仿宋_GB2312" w:hAnsi="黑体" w:cs="仿宋_GB2312" w:hint="eastAsia"/>
        </w:rPr>
        <w:t>提出修订实施细则的法律依据，实施细则的适用范围、</w:t>
      </w:r>
      <w:r>
        <w:rPr>
          <w:rFonts w:ascii="仿宋_GB2312" w:hint="eastAsia"/>
          <w:color w:val="000000"/>
        </w:rPr>
        <w:t>嘉定区科技小巨人企业的定义</w:t>
      </w:r>
      <w:r>
        <w:rPr>
          <w:rFonts w:ascii="仿宋_GB2312" w:hint="eastAsia"/>
        </w:rPr>
        <w:t>和管理部门。</w:t>
      </w:r>
    </w:p>
    <w:p w14:paraId="126F931D" w14:textId="77777777" w:rsidR="000B2D71" w:rsidRDefault="00000000">
      <w:pPr>
        <w:ind w:firstLine="643"/>
        <w:rPr>
          <w:rFonts w:ascii="仿宋_GB2312" w:hAnsi="黑体" w:cs="仿宋_GB2312"/>
        </w:rPr>
      </w:pPr>
      <w:r>
        <w:rPr>
          <w:rFonts w:ascii="仿宋_GB2312" w:hAnsi="黑体" w:cs="仿宋_GB2312" w:hint="eastAsia"/>
          <w:b/>
        </w:rPr>
        <w:t>2.支持对象与条件。</w:t>
      </w:r>
      <w:r>
        <w:rPr>
          <w:rFonts w:ascii="仿宋_GB2312" w:hAnsi="黑体" w:cs="仿宋_GB2312" w:hint="eastAsia"/>
        </w:rPr>
        <w:t>对支持对象范围进行说明、企业申报条件进行明确。</w:t>
      </w:r>
    </w:p>
    <w:p w14:paraId="5D6B7389" w14:textId="77777777" w:rsidR="000B2D71" w:rsidRDefault="00000000">
      <w:pPr>
        <w:pStyle w:val="a8"/>
        <w:spacing w:beforeAutospacing="0" w:afterAutospacing="0" w:line="360" w:lineRule="auto"/>
        <w:ind w:firstLine="643"/>
        <w:rPr>
          <w:rFonts w:ascii="仿宋_GB2312"/>
        </w:rPr>
      </w:pPr>
      <w:r>
        <w:rPr>
          <w:rFonts w:ascii="仿宋_GB2312" w:hAnsi="黑体" w:cs="仿宋_GB2312" w:hint="eastAsia"/>
          <w:b/>
          <w:kern w:val="2"/>
          <w:sz w:val="32"/>
        </w:rPr>
        <w:t>3.支持方式。</w:t>
      </w:r>
      <w:r>
        <w:rPr>
          <w:rFonts w:ascii="仿宋_GB2312" w:hAnsi="黑体" w:cs="仿宋_GB2312" w:hint="eastAsia"/>
          <w:kern w:val="2"/>
          <w:sz w:val="32"/>
        </w:rPr>
        <w:t>明确政策的支持方式，上海市科技小巨人（含培育）企业和嘉定区科技小巨人企业的资助额度。</w:t>
      </w:r>
    </w:p>
    <w:p w14:paraId="7E3C2ADA" w14:textId="77777777" w:rsidR="000B2D71" w:rsidRDefault="00000000">
      <w:pPr>
        <w:ind w:firstLine="643"/>
        <w:jc w:val="left"/>
        <w:rPr>
          <w:rFonts w:ascii="仿宋_GB2312"/>
        </w:rPr>
      </w:pPr>
      <w:r>
        <w:rPr>
          <w:rFonts w:ascii="仿宋_GB2312" w:hAnsi="黑体" w:cs="仿宋_GB2312" w:hint="eastAsia"/>
          <w:b/>
        </w:rPr>
        <w:t>4.申请与受理。</w:t>
      </w:r>
      <w:r>
        <w:rPr>
          <w:rFonts w:ascii="仿宋_GB2312" w:hAnsi="黑体" w:cs="仿宋_GB2312" w:hint="eastAsia"/>
        </w:rPr>
        <w:t>明确上海市科技小巨人(含培育）企业及嘉定区科技小巨人企业申请方式和受理材料等。</w:t>
      </w:r>
    </w:p>
    <w:p w14:paraId="6544F676" w14:textId="77777777" w:rsidR="000B2D71" w:rsidRDefault="00000000">
      <w:pPr>
        <w:ind w:firstLine="640"/>
        <w:jc w:val="left"/>
        <w:rPr>
          <w:rFonts w:ascii="仿宋_GB2312" w:hAnsi="黑体" w:cs="仿宋_GB2312"/>
        </w:rPr>
      </w:pPr>
      <w:r>
        <w:rPr>
          <w:rFonts w:ascii="仿宋_GB2312" w:hint="eastAsia"/>
        </w:rPr>
        <w:t>5.</w:t>
      </w:r>
      <w:r>
        <w:rPr>
          <w:rFonts w:ascii="仿宋_GB2312" w:hAnsi="黑体" w:cs="仿宋_GB2312" w:hint="eastAsia"/>
          <w:b/>
        </w:rPr>
        <w:t>评审与认定。</w:t>
      </w:r>
      <w:r>
        <w:rPr>
          <w:rFonts w:ascii="仿宋_GB2312" w:hAnsi="黑体" w:cs="仿宋_GB2312" w:hint="eastAsia"/>
        </w:rPr>
        <w:t>明确嘉定区科技小巨人企业的评审方式和认定流程。</w:t>
      </w:r>
    </w:p>
    <w:p w14:paraId="21B00415" w14:textId="77777777" w:rsidR="000B2D71" w:rsidRDefault="00000000">
      <w:pPr>
        <w:ind w:firstLine="640"/>
        <w:jc w:val="left"/>
        <w:rPr>
          <w:rFonts w:ascii="仿宋_GB2312" w:hAnsi="new" w:cs="仿宋_GB2312"/>
        </w:rPr>
      </w:pPr>
      <w:r>
        <w:rPr>
          <w:rFonts w:ascii="仿宋_GB2312" w:hint="eastAsia"/>
        </w:rPr>
        <w:t>6.</w:t>
      </w:r>
      <w:r>
        <w:rPr>
          <w:rFonts w:ascii="黑体" w:eastAsia="黑体" w:hAnsi="黑体" w:hint="eastAsia"/>
          <w:color w:val="000000"/>
        </w:rPr>
        <w:t>监督管理</w:t>
      </w:r>
      <w:r>
        <w:rPr>
          <w:rFonts w:ascii="仿宋_GB2312" w:hAnsi="黑体" w:cs="仿宋_GB2312" w:hint="eastAsia"/>
          <w:b/>
        </w:rPr>
        <w:t>。</w:t>
      </w:r>
      <w:r>
        <w:rPr>
          <w:rFonts w:ascii="仿宋_GB2312" w:hint="eastAsia"/>
        </w:rPr>
        <w:t>明确</w:t>
      </w:r>
      <w:r>
        <w:rPr>
          <w:rFonts w:ascii="仿宋_GB2312" w:hint="eastAsia"/>
          <w:color w:val="000000"/>
        </w:rPr>
        <w:t>资助资金的审核、拨付和监督流程</w:t>
      </w:r>
      <w:r>
        <w:rPr>
          <w:rFonts w:ascii="仿宋_GB2312" w:hint="eastAsia"/>
        </w:rPr>
        <w:t>。</w:t>
      </w:r>
    </w:p>
    <w:p w14:paraId="78994CBA" w14:textId="77777777" w:rsidR="000B2D71" w:rsidRDefault="00000000">
      <w:pPr>
        <w:ind w:firstLine="643"/>
        <w:rPr>
          <w:rFonts w:ascii="仿宋_GB2312" w:hAnsi="new" w:cs="仿宋_GB2312"/>
        </w:rPr>
      </w:pPr>
      <w:r>
        <w:rPr>
          <w:rFonts w:ascii="仿宋_GB2312" w:hAnsi="黑体" w:cs="仿宋_GB2312" w:hint="eastAsia"/>
          <w:b/>
        </w:rPr>
        <w:lastRenderedPageBreak/>
        <w:t>5.附则。</w:t>
      </w:r>
      <w:r>
        <w:rPr>
          <w:rFonts w:ascii="仿宋_GB2312" w:hAnsi="new" w:cs="仿宋_GB2312" w:hint="eastAsia"/>
        </w:rPr>
        <w:t>明确管理办法实施日期和负责解释单位。</w:t>
      </w:r>
    </w:p>
    <w:sectPr w:rsidR="000B2D7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67DBA" w14:textId="77777777" w:rsidR="00940D4B" w:rsidRDefault="00940D4B">
      <w:pPr>
        <w:spacing w:line="240" w:lineRule="auto"/>
        <w:ind w:firstLine="640"/>
      </w:pPr>
      <w:r>
        <w:separator/>
      </w:r>
    </w:p>
  </w:endnote>
  <w:endnote w:type="continuationSeparator" w:id="0">
    <w:p w14:paraId="768FEAF9" w14:textId="77777777" w:rsidR="00940D4B" w:rsidRDefault="00940D4B">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1ACAD26B-0994-4B6D-93FC-EDB6787DD903}"/>
    <w:embedBold r:id="rId2" w:subsetted="1" w:fontKey="{87BB3015-5193-4761-911F-C20377AF64F7}"/>
  </w:font>
  <w:font w:name="黑体">
    <w:altName w:val="SimHei"/>
    <w:panose1 w:val="02010609060101010101"/>
    <w:charset w:val="86"/>
    <w:family w:val="modern"/>
    <w:pitch w:val="fixed"/>
    <w:sig w:usb0="800002BF" w:usb1="38CF7CFA" w:usb2="00000016" w:usb3="00000000" w:csb0="00040001" w:csb1="00000000"/>
    <w:embedRegular r:id="rId3" w:subsetted="1" w:fontKey="{0720661F-F47B-436E-9F61-983EA677B717}"/>
    <w:embedBold r:id="rId4" w:subsetted="1" w:fontKey="{3D2766AF-C38F-47D9-8825-A0BB106F8E7D}"/>
  </w:font>
  <w:font w:name="___WRD_EMBED_SUB_46">
    <w:altName w:val="宋体"/>
    <w:charset w:val="86"/>
    <w:family w:val="script"/>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new">
    <w:altName w:val="Arial Unicode MS"/>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0C552" w14:textId="77777777" w:rsidR="000B2D71" w:rsidRDefault="000B2D71">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39F9F" w14:textId="77777777" w:rsidR="000B2D71" w:rsidRDefault="000B2D71">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22C3" w14:textId="77777777" w:rsidR="000B2D71" w:rsidRDefault="000B2D71">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AA03B" w14:textId="77777777" w:rsidR="00940D4B" w:rsidRDefault="00940D4B">
      <w:pPr>
        <w:spacing w:line="240" w:lineRule="auto"/>
        <w:ind w:firstLine="640"/>
      </w:pPr>
      <w:r>
        <w:separator/>
      </w:r>
    </w:p>
  </w:footnote>
  <w:footnote w:type="continuationSeparator" w:id="0">
    <w:p w14:paraId="73ECBEAF" w14:textId="77777777" w:rsidR="00940D4B" w:rsidRDefault="00940D4B">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504E1" w14:textId="77777777" w:rsidR="000B2D71" w:rsidRDefault="000B2D71">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17336" w14:textId="77777777" w:rsidR="000B2D71" w:rsidRDefault="000B2D71">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B5751" w14:textId="77777777" w:rsidR="000B2D71" w:rsidRDefault="000B2D71">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k5YjgzMWZkMzc3MTNjM2UzMGFmYzIxMTk1ZWJmNWUifQ=="/>
  </w:docVars>
  <w:rsids>
    <w:rsidRoot w:val="0F493C71"/>
    <w:rsid w:val="00064EF1"/>
    <w:rsid w:val="000B2D71"/>
    <w:rsid w:val="00275A23"/>
    <w:rsid w:val="002940CA"/>
    <w:rsid w:val="002E6F5B"/>
    <w:rsid w:val="0031105F"/>
    <w:rsid w:val="003837C8"/>
    <w:rsid w:val="00427E69"/>
    <w:rsid w:val="00453113"/>
    <w:rsid w:val="0049482F"/>
    <w:rsid w:val="0062610D"/>
    <w:rsid w:val="006D51FC"/>
    <w:rsid w:val="00711764"/>
    <w:rsid w:val="00787489"/>
    <w:rsid w:val="00795DA9"/>
    <w:rsid w:val="008603E7"/>
    <w:rsid w:val="00940D4B"/>
    <w:rsid w:val="00987F05"/>
    <w:rsid w:val="00C438C9"/>
    <w:rsid w:val="00C84DE0"/>
    <w:rsid w:val="00CD5149"/>
    <w:rsid w:val="00DF1B71"/>
    <w:rsid w:val="00EF2900"/>
    <w:rsid w:val="0F493C71"/>
    <w:rsid w:val="406E5393"/>
    <w:rsid w:val="44D04970"/>
    <w:rsid w:val="5E520B54"/>
    <w:rsid w:val="7E2A3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E61E015"/>
  <w15:docId w15:val="{D527A15E-BD21-4DA9-AA2E-96079A3E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600" w:lineRule="exact"/>
      <w:ind w:firstLineChars="200" w:firstLine="20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qFormat/>
    <w:pPr>
      <w:tabs>
        <w:tab w:val="center" w:pos="4153"/>
        <w:tab w:val="right" w:pos="8306"/>
      </w:tabs>
      <w:snapToGrid w:val="0"/>
      <w:spacing w:line="240" w:lineRule="atLeast"/>
      <w:jc w:val="left"/>
    </w:pPr>
    <w:rPr>
      <w:sz w:val="18"/>
      <w:szCs w:val="18"/>
    </w:rPr>
  </w:style>
  <w:style w:type="paragraph" w:styleId="a6">
    <w:name w:val="header"/>
    <w:basedOn w:val="a"/>
    <w:link w:val="a7"/>
    <w:qFormat/>
    <w:pPr>
      <w:tabs>
        <w:tab w:val="center" w:pos="4153"/>
        <w:tab w:val="right" w:pos="8306"/>
      </w:tabs>
      <w:snapToGrid w:val="0"/>
      <w:spacing w:line="240" w:lineRule="atLeast"/>
      <w:jc w:val="center"/>
    </w:pPr>
    <w:rPr>
      <w:sz w:val="18"/>
      <w:szCs w:val="18"/>
    </w:rPr>
  </w:style>
  <w:style w:type="paragraph" w:styleId="a8">
    <w:name w:val="Normal (Web)"/>
    <w:basedOn w:val="a"/>
    <w:qFormat/>
    <w:pPr>
      <w:spacing w:beforeAutospacing="1" w:afterAutospacing="1"/>
      <w:jc w:val="left"/>
    </w:pPr>
    <w:rPr>
      <w:kern w:val="0"/>
      <w:sz w:val="24"/>
    </w:rPr>
  </w:style>
  <w:style w:type="character" w:customStyle="1" w:styleId="a7">
    <w:name w:val="页眉 字符"/>
    <w:basedOn w:val="a0"/>
    <w:link w:val="a6"/>
    <w:qFormat/>
    <w:rPr>
      <w:rFonts w:eastAsia="仿宋_GB2312"/>
      <w:kern w:val="2"/>
      <w:sz w:val="18"/>
      <w:szCs w:val="18"/>
    </w:rPr>
  </w:style>
  <w:style w:type="character" w:customStyle="1" w:styleId="a5">
    <w:name w:val="页脚 字符"/>
    <w:basedOn w:val="a0"/>
    <w:link w:val="a4"/>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  °</dc:creator>
  <cp:lastModifiedBy>Sherry Wang</cp:lastModifiedBy>
  <cp:revision>2</cp:revision>
  <dcterms:created xsi:type="dcterms:W3CDTF">2024-05-13T07:58:00Z</dcterms:created>
  <dcterms:modified xsi:type="dcterms:W3CDTF">2024-05-13T07:58:00Z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9D9C918982104BE8B4E3694E582711E1_11</vt:lpwstr>
  </property>
</Properties>
</file>