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关于《“嘉定科创贷”批次担保业务实施方案（草案）》的起草说明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一、文件制定的必要性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《上海市促进中小企业发展条例》《上海市嘉定区人民政府关于进一步深化企业服务的实施意见》等政策要求，嘉定区需通过完善政策性融资担保体系，解决科创型中小微企业“融资难、融资贵”问题，助力上海科创中心重要承载区建设。同时，原2023年版方案已难以完全适配当前区域产业发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企业融资需求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，不符合全国统一大市场建设和公平竞争审查相关规定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，亟需修订以优化政策效能，为“十五五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期间区域科技创新与产业链韧性提升提供支撑。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二、文件的主要内容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方案围绕“嘉定科创贷”批次担保业务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主要包括六部分内容：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明确工作目标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是搭建“政府+担保+园区+银行”四方联动平台，完善合作机制，降低科创型中小微企业融资成本，提升区域创新能力。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聚焦汽车“新四化”、智能传感器及物联网等重点产业，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涵盖高新技术企业、“专精特新” 中小企业等多类科创主体及经推荐审核的其他中小微企业，同时明确了不予纳入的企业情形。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操作流程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包括各单位推荐需求名单、区财政局汇总初审后报市融资担保中心审核形成“白名单”、择优选定合作银行并签署三方协议、银行在10个工作日内完成授信放款，以及动态风险控制和跟踪管理。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授信额度（普通企业单户不超1000万元，科创重点企业单户不超2000万元）、贷款利率不高于1年期LPR、担保费率0.5%，并建立风险分担机制和担保费“免申即享”补贴政策。此外，方案对各单位工作要求、合作银行考核及执行时间作出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bCs/>
          <w:sz w:val="32"/>
          <w:szCs w:val="32"/>
        </w:rPr>
        <w:t>文件的起草过程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财政局牵头，联合市融资担保中心及嘉定担保公司职能部门开展前期调研，梳理原方案实施情况，结合区域产业需求和市级政策规则明确修订方向。随后拟定方案框架，围绕科创导向、覆盖范围、流程优化等核心要点进行专题研讨，形成初稿后向各街镇、集团公司、合作银行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市财政局、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区经委、科委等相关职能部门征求意见，根据反馈优化调整内容，最终形成本草案。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嘉定区财政局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jdjODc0OTQ0NzIyODM1ZTk0MzEwMWM1NDExYmEifQ=="/>
  </w:docVars>
  <w:rsids>
    <w:rsidRoot w:val="56F16A8C"/>
    <w:rsid w:val="05B437EC"/>
    <w:rsid w:val="0C777461"/>
    <w:rsid w:val="35066A3B"/>
    <w:rsid w:val="523E75AA"/>
    <w:rsid w:val="56F16A8C"/>
    <w:rsid w:val="59D47CE0"/>
    <w:rsid w:val="613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2025-07-22T00:41:00Z</dcterms:created>
  <dc:creator>wangmengna</dc:creator>
  <cp:lastModifiedBy>wangmengna</cp:lastModifiedBy>
  <dcterms:modified xsi:type="dcterms:W3CDTF">2025-08-07T06:17:50Z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E2D61875A3D64FCCB1F94B92C75D0980_11</vt:lpwstr>
  </property>
</Properties>
</file>