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2026-2029年</w:t>
      </w:r>
      <w:r>
        <w:rPr>
          <w:rFonts w:hint="eastAsia" w:ascii="方正小标宋简体" w:hAnsi="方正小标宋简体" w:eastAsia="方正小标宋简体" w:cs="方正小标宋简体"/>
          <w:b w:val="0"/>
          <w:bCs/>
          <w:sz w:val="36"/>
          <w:szCs w:val="36"/>
        </w:rPr>
        <w:t>上海市</w:t>
      </w:r>
      <w:r>
        <w:rPr>
          <w:rFonts w:hint="eastAsia" w:ascii="方正小标宋简体" w:hAnsi="方正小标宋简体" w:eastAsia="方正小标宋简体" w:cs="方正小标宋简体"/>
          <w:b w:val="0"/>
          <w:bCs/>
          <w:sz w:val="36"/>
          <w:szCs w:val="36"/>
          <w:lang w:val="en-US" w:eastAsia="zh-CN"/>
        </w:rPr>
        <w:t>嘉定区区级财政</w:t>
      </w:r>
      <w:r>
        <w:rPr>
          <w:rFonts w:hint="eastAsia" w:ascii="方正小标宋简体" w:hAnsi="方正小标宋简体" w:eastAsia="方正小标宋简体" w:cs="方正小标宋简体"/>
          <w:b w:val="0"/>
          <w:bCs/>
          <w:sz w:val="36"/>
          <w:szCs w:val="36"/>
        </w:rPr>
        <w:t>农业保险保费补贴资金管理办法</w:t>
      </w:r>
    </w:p>
    <w:p>
      <w:pPr>
        <w:pStyle w:val="2"/>
        <w:ind w:left="0" w:leftChars="0" w:firstLine="3840" w:firstLineChars="1200"/>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sz w:val="32"/>
          <w:szCs w:val="32"/>
          <w:lang w:eastAsia="zh-CN"/>
        </w:rPr>
        <w:t>（草案）</w:t>
      </w: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b/>
          <w:sz w:val="36"/>
          <w:szCs w:val="32"/>
        </w:rPr>
      </w:pP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jc w:val="center"/>
        <w:textAlignment w:val="auto"/>
        <w:outlineLvl w:val="4"/>
        <w:rPr>
          <w:rFonts w:hint="eastAsia" w:ascii="仿宋" w:hAnsi="仿宋" w:eastAsia="仿宋" w:cs="仿宋"/>
          <w:b/>
          <w:sz w:val="36"/>
          <w:szCs w:val="36"/>
          <w:highlight w:val="none"/>
          <w:lang w:val="en-US" w:eastAsia="zh-CN"/>
        </w:rPr>
      </w:pPr>
      <w:r>
        <w:rPr>
          <w:rFonts w:hint="eastAsia" w:ascii="黑体" w:hAnsi="黑体" w:eastAsia="黑体" w:cs="黑体"/>
          <w:b w:val="0"/>
          <w:bCs/>
          <w:sz w:val="32"/>
          <w:szCs w:val="32"/>
          <w:highlight w:val="none"/>
          <w:lang w:val="en-US" w:eastAsia="zh-CN"/>
        </w:rPr>
        <w:t>第一章 总则</w:t>
      </w:r>
    </w:p>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u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第一条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w:t>
      </w:r>
      <w:r>
        <w:rPr>
          <w:rFonts w:hint="eastAsia" w:ascii="仿宋_GB2312" w:hAnsi="仿宋_GB2312" w:eastAsia="仿宋_GB2312" w:cs="仿宋_GB2312"/>
          <w:b w:val="0"/>
          <w:bCs w:val="0"/>
          <w:color w:val="auto"/>
          <w:spacing w:val="0"/>
          <w:kern w:val="0"/>
          <w:sz w:val="32"/>
          <w:szCs w:val="32"/>
          <w:highlight w:val="none"/>
          <w:u w:val="none"/>
          <w:lang w:val="en-US" w:eastAsia="zh-CN" w:bidi="ar-SA"/>
        </w:rPr>
        <w:t>为加强农业保险保费补贴资金管理，构建覆盖自然风险、市场风险的多层次农业保险体系，加快农业保险高质量发展，助力本区全面推进乡村振兴，根据《上海市乡村振兴专项资金管理办法》（沪农委规〔2022〕5号）、《上海市市级财政农业保险保费补贴管理办法》（沪财发〔2024〕11号）等文件精神，结合本区实际，制定本办法。</w:t>
      </w:r>
    </w:p>
    <w:p>
      <w:pPr>
        <w:pStyle w:val="3"/>
        <w:pageBreakBefore w:val="0"/>
        <w:kinsoku/>
        <w:wordWrap/>
        <w:overflowPunct/>
        <w:topLinePunct w:val="0"/>
        <w:autoSpaceDE/>
        <w:autoSpaceDN/>
        <w:bidi w:val="0"/>
        <w:spacing w:before="0" w:beforeLines="0" w:after="0" w:afterLines="0" w:line="600" w:lineRule="exact"/>
        <w:ind w:left="0" w:leftChars="0" w:right="0" w:rightChars="0" w:firstLine="643" w:firstLineChars="200"/>
        <w:textAlignment w:val="auto"/>
        <w:rPr>
          <w:rFonts w:hint="eastAsia" w:ascii="仿宋_GB2312" w:hAnsi="仿宋_GB2312" w:eastAsia="仿宋_GB2312" w:cs="仿宋_GB2312"/>
          <w:i w:val="0"/>
          <w:caps w:val="0"/>
          <w:color w:val="333333"/>
          <w:spacing w:val="0"/>
          <w:sz w:val="30"/>
          <w:szCs w:val="30"/>
          <w:highlight w:val="none"/>
        </w:rPr>
      </w:pPr>
      <w:r>
        <w:rPr>
          <w:rFonts w:hint="eastAsia" w:ascii="仿宋_GB2312" w:hAnsi="仿宋_GB2312" w:eastAsia="仿宋_GB2312" w:cs="仿宋_GB2312"/>
          <w:b/>
          <w:bCs/>
          <w:color w:val="auto"/>
          <w:spacing w:val="0"/>
          <w:kern w:val="0"/>
          <w:sz w:val="32"/>
          <w:szCs w:val="32"/>
          <w:highlight w:val="none"/>
          <w:lang w:val="en-US" w:eastAsia="zh-CN" w:bidi="ar-SA"/>
        </w:rPr>
        <w:t>第二条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本办法所称市级、区级财政农业保险保费补贴资金，是指市级、区级财政对符合条件的投保人向农业保险经营机构（以下简称承保机构）投保特定的种植业、养殖业以及其他涉农类险种，按照保费的一定比例给予补助的资金。</w:t>
      </w:r>
    </w:p>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本办法所称承保机构，是指经公开遴选确定的嘉定区政策性农业保险承保机构名单中的农业保险公司以及依法设立并开展农业保险业务的农业互助保险等保险组织。本办法所称投保人，是指在本区从事农业生产并在本区承保机构办理相关财政保费补贴险种投保手续的农户、农民专业合作社、家庭农场、农业企业以及其他农业生产经营组织。</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i w:val="0"/>
          <w:caps w:val="0"/>
          <w:color w:val="333333"/>
          <w:spacing w:val="0"/>
          <w:sz w:val="30"/>
          <w:szCs w:val="30"/>
          <w:highlight w:val="none"/>
        </w:rPr>
      </w:pPr>
      <w:r>
        <w:rPr>
          <w:rFonts w:hint="eastAsia" w:ascii="仿宋_GB2312" w:hAnsi="仿宋_GB2312" w:eastAsia="仿宋_GB2312" w:cs="仿宋_GB2312"/>
          <w:b/>
          <w:bCs/>
          <w:color w:val="auto"/>
          <w:spacing w:val="0"/>
          <w:kern w:val="0"/>
          <w:sz w:val="32"/>
          <w:szCs w:val="32"/>
          <w:highlight w:val="none"/>
          <w:lang w:val="en-US" w:eastAsia="zh-CN" w:bidi="ar-SA"/>
        </w:rPr>
        <w:t>第三条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本区农业保险保费补贴基本原则：</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一）政策引导、市场运作。各级财政通过保费补贴政策引导农户参加农业保险。农业保险以市场运作为主，各级主管部门推动农业保险领域“放管服”改革，有序放开农业保险经营市场，引入良性竞争机制推动农业保险高质量发展。</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（二）合理保障、保费共担。农业保险在覆盖保险标的主要风险基础上，逐步从保障直接成本向保障产值收入过渡，提高农业保险投保覆盖率。投保农户除享受财政保费补贴外，应缴纳一定比例的保费。</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（三）</w:t>
      </w:r>
      <w:r>
        <w:rPr>
          <w:rFonts w:hint="eastAsia" w:ascii="仿宋_GB2312" w:hAnsi="仿宋_GB2312" w:eastAsia="仿宋_GB2312" w:cs="仿宋_GB2312"/>
          <w:i w:val="0"/>
          <w:caps w:val="0"/>
          <w:color w:val="auto"/>
          <w:spacing w:val="0"/>
          <w:sz w:val="32"/>
          <w:szCs w:val="32"/>
          <w:highlight w:val="none"/>
          <w:shd w:val="clear" w:color="auto" w:fill="FFFFFF"/>
        </w:rPr>
        <w:t>公共普惠、绩效导向。聚焦我区重要农产品保障战略和乡村振兴支持重点，兼顾新型农业经营主体和小农户，切实提升投保农户政策获得感和满意度。区财政局、区农业农村委负责对资金使用情况进行监督和绩效评价，加强绩效评价结果应用，突出正向激励。</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420"/>
        <w:jc w:val="center"/>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第二章</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w:t>
      </w:r>
      <w:r>
        <w:rPr>
          <w:rFonts w:hint="eastAsia" w:ascii="楷体_GB2312" w:hAnsi="楷体_GB2312" w:eastAsia="楷体_GB2312" w:cs="楷体_GB2312"/>
          <w:b w:val="0"/>
          <w:bCs w:val="0"/>
          <w:color w:val="auto"/>
          <w:spacing w:val="0"/>
          <w:kern w:val="0"/>
          <w:sz w:val="32"/>
          <w:szCs w:val="32"/>
          <w:highlight w:val="none"/>
          <w:lang w:val="en-US" w:eastAsia="zh-CN" w:bidi="ar-SA"/>
        </w:rPr>
        <w:t xml:space="preserve"> </w:t>
      </w:r>
      <w:r>
        <w:rPr>
          <w:rFonts w:hint="eastAsia" w:ascii="黑体" w:hAnsi="黑体" w:eastAsia="黑体" w:cs="黑体"/>
          <w:b w:val="0"/>
          <w:bCs/>
          <w:kern w:val="2"/>
          <w:sz w:val="32"/>
          <w:szCs w:val="32"/>
          <w:highlight w:val="none"/>
          <w:lang w:val="en-US" w:eastAsia="zh-CN" w:bidi="ar-SA"/>
        </w:rPr>
        <w:t>保费补贴范围、目录、标准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第四条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保费补贴范围</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对关系国计民生、种植面积较广、饲养数量较大、农业总产值占比相对较高的保险标的险种以及对促进都市现代农业发展有重要意义的保险标的险种，除中央、市级财政保费补贴标准外，同时给予区镇两级财政保费补贴。具体保费补贴险种由区农业农村委会同区财政局确定。</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第五条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保费补贴目录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市级财政（含中央）、区级财政共同给予保险保费补贴险种，5大类（单位保额和费率标准详见附件）</w:t>
      </w:r>
    </w:p>
    <w:p>
      <w:pPr>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4"/>
        <w:rPr>
          <w:rFonts w:hint="eastAsia" w:ascii="仿宋_GB2312" w:hAnsi="仿宋_GB2312" w:eastAsia="仿宋_GB2312" w:cs="仿宋_GB2312"/>
          <w:i w:val="0"/>
          <w:caps w:val="0"/>
          <w:color w:val="auto"/>
          <w:spacing w:val="0"/>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rPr>
        <w:t>1.种植业类：水稻、小麦、油菜、蔬菜、水果、食用菌种植保险。其中，水稻和小麦种植保险包括物化成本保险和完全成本保险</w:t>
      </w:r>
      <w:r>
        <w:rPr>
          <w:rFonts w:hint="eastAsia" w:ascii="仿宋_GB2312" w:hAnsi="仿宋_GB2312" w:eastAsia="仿宋_GB2312" w:cs="仿宋_GB2312"/>
          <w:i w:val="0"/>
          <w:caps w:val="0"/>
          <w:color w:val="auto"/>
          <w:spacing w:val="0"/>
          <w:kern w:val="0"/>
          <w:sz w:val="32"/>
          <w:szCs w:val="32"/>
          <w:highlight w:val="none"/>
          <w:shd w:val="clear" w:color="auto" w:fill="FFFFFF"/>
          <w:lang w:eastAsia="zh-CN"/>
        </w:rPr>
        <w:t>，两者不得重复投保</w:t>
      </w:r>
      <w:r>
        <w:rPr>
          <w:rFonts w:hint="eastAsia" w:ascii="仿宋_GB2312" w:hAnsi="仿宋_GB2312" w:eastAsia="仿宋_GB2312" w:cs="仿宋_GB2312"/>
          <w:i w:val="0"/>
          <w:caps w:val="0"/>
          <w:color w:val="auto"/>
          <w:spacing w:val="0"/>
          <w:kern w:val="0"/>
          <w:sz w:val="32"/>
          <w:szCs w:val="32"/>
          <w:highlight w:val="none"/>
          <w:shd w:val="clear" w:color="auto" w:fill="FFFFFF"/>
        </w:rPr>
        <w:t>。</w:t>
      </w:r>
    </w:p>
    <w:p>
      <w:pPr>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4"/>
        <w:rPr>
          <w:rFonts w:hint="eastAsia" w:ascii="仿宋_GB2312" w:hAnsi="仿宋_GB2312" w:eastAsia="仿宋_GB2312" w:cs="仿宋_GB2312"/>
          <w:i w:val="0"/>
          <w:caps w:val="0"/>
          <w:color w:val="auto"/>
          <w:spacing w:val="0"/>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rPr>
        <w:t>2.养殖业类：能繁母猪、育肥猪、仔猪、奶牛、羊、禽类、淡水水产养殖保险。</w:t>
      </w:r>
    </w:p>
    <w:p>
      <w:pPr>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4"/>
        <w:rPr>
          <w:rFonts w:hint="eastAsia" w:ascii="仿宋_GB2312" w:hAnsi="仿宋_GB2312" w:eastAsia="仿宋_GB2312" w:cs="仿宋_GB2312"/>
          <w:i w:val="0"/>
          <w:caps w:val="0"/>
          <w:color w:val="auto"/>
          <w:spacing w:val="0"/>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rPr>
        <w:t>3.种源类：杂交水稻制种、青菜制种、种公猪、种禽保险。</w:t>
      </w:r>
    </w:p>
    <w:p>
      <w:pPr>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4"/>
        <w:rPr>
          <w:rFonts w:hint="eastAsia" w:ascii="仿宋_GB2312" w:hAnsi="仿宋_GB2312" w:eastAsia="仿宋_GB2312" w:cs="仿宋_GB2312"/>
          <w:i w:val="0"/>
          <w:caps w:val="0"/>
          <w:color w:val="auto"/>
          <w:spacing w:val="0"/>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rPr>
        <w:t>4.涉农类：大棚设施、农机具综合、渔船综合保险。</w:t>
      </w:r>
    </w:p>
    <w:p>
      <w:pPr>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4"/>
        <w:rPr>
          <w:rFonts w:hint="eastAsia" w:ascii="仿宋_GB2312" w:hAnsi="仿宋_GB2312" w:eastAsia="仿宋_GB2312" w:cs="仿宋_GB2312"/>
          <w:i w:val="0"/>
          <w:caps w:val="0"/>
          <w:color w:val="auto"/>
          <w:spacing w:val="0"/>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rPr>
        <w:t>5.价格指数类：绿叶菜成本价格指数保险。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区级财政、镇级财政给予保险保费补贴险种，6大类（单位保额和费率标准详见附件）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（一）种植业保险类：葡萄气象指数保险、草莓气象指数保险、粮食收入保险、</w:t>
      </w:r>
      <w:r>
        <w:rPr>
          <w:rFonts w:hint="eastAsia" w:ascii="仿宋_GB2312" w:hAnsi="仿宋_GB2312" w:eastAsia="仿宋_GB2312" w:cs="仿宋_GB2312"/>
          <w:b/>
          <w:bCs/>
          <w:color w:val="auto"/>
          <w:spacing w:val="0"/>
          <w:kern w:val="0"/>
          <w:sz w:val="32"/>
          <w:szCs w:val="32"/>
          <w:highlight w:val="none"/>
          <w:lang w:val="en-US" w:eastAsia="zh-CN" w:bidi="ar-SA"/>
        </w:rPr>
        <w:t>嘉定白蒜收入保险</w:t>
      </w:r>
      <w:r>
        <w:rPr>
          <w:rFonts w:hint="eastAsia" w:ascii="仿宋_GB2312" w:hAnsi="仿宋_GB2312" w:eastAsia="仿宋_GB2312" w:cs="仿宋_GB2312"/>
          <w:b w:val="0"/>
          <w:bCs w:val="0"/>
          <w:color w:val="auto"/>
          <w:spacing w:val="0"/>
          <w:kern w:val="0"/>
          <w:sz w:val="32"/>
          <w:szCs w:val="32"/>
          <w:highlight w:val="none"/>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（二）养殖业保险类：生猪重大疫情保险、</w:t>
      </w:r>
      <w:r>
        <w:rPr>
          <w:rFonts w:hint="eastAsia" w:ascii="仿宋_GB2312" w:hAnsi="仿宋_GB2312" w:eastAsia="仿宋_GB2312" w:cs="仿宋_GB2312"/>
          <w:b/>
          <w:bCs/>
          <w:color w:val="auto"/>
          <w:spacing w:val="0"/>
          <w:kern w:val="0"/>
          <w:sz w:val="32"/>
          <w:szCs w:val="32"/>
          <w:highlight w:val="none"/>
          <w:lang w:val="en-US" w:eastAsia="zh-CN" w:bidi="ar-SA"/>
        </w:rPr>
        <w:t>生猪收入保险</w:t>
      </w:r>
      <w:r>
        <w:rPr>
          <w:rFonts w:hint="eastAsia" w:ascii="仿宋_GB2312" w:hAnsi="仿宋_GB2312" w:eastAsia="仿宋_GB2312" w:cs="仿宋_GB2312"/>
          <w:b w:val="0"/>
          <w:bCs w:val="0"/>
          <w:color w:val="auto"/>
          <w:spacing w:val="0"/>
          <w:kern w:val="0"/>
          <w:sz w:val="32"/>
          <w:szCs w:val="32"/>
          <w:highlight w:val="none"/>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（三）农业生态保护保险类；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（四）涉农人员保险类：务农人员（农机驾驶员、种植业、养殖业）意外（含附加险）保险等；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（五）综合保险类：农产品质量安全保险、“种养”结合生态农业保险、农用无人机综合保险、农用库房保险等；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（六）种源农业保险类：种羊养殖保险等。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第六条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保费补贴标准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市级范围保费补贴标准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（一）水稻、杂交水稻制种、能繁母猪、生猪和奶牛保险险种保费补贴标准为80%；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（二）蔬菜种植、仔猪保险险种保费补贴标准为70%；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（三）大棚设施、淡水水产养殖保险险种保费补贴标准为60%；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（四）农机具综合、渔船综合保险险种保费补贴标准为50%；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（五）水果、食用菌、羊、禽类、青菜制种、种公猪、种禽保险险种保费补贴标准为40%；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（六）绿叶菜成本价格保险保费补贴标准不高于90%，其中：青菜补贴标准为90%，其他品种补贴标准为80%。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水</w:t>
      </w:r>
      <w:r>
        <w:rPr>
          <w:rFonts w:hint="default" w:ascii="Times New Roman" w:hAnsi="Times New Roman" w:eastAsia="仿宋_GB2312" w:cs="Times New Roman"/>
          <w:kern w:val="0"/>
          <w:sz w:val="32"/>
          <w:szCs w:val="32"/>
          <w:highlight w:val="none"/>
          <w:u w:val="none"/>
          <w:lang w:val="en-US" w:eastAsia="zh-CN"/>
        </w:rPr>
        <w:t>稻、小麦、油菜、杂交水稻制</w:t>
      </w:r>
      <w:r>
        <w:rPr>
          <w:rFonts w:hint="default" w:ascii="Times New Roman" w:hAnsi="Times New Roman" w:eastAsia="仿宋_GB2312" w:cs="Times New Roman"/>
          <w:kern w:val="0"/>
          <w:sz w:val="32"/>
          <w:szCs w:val="32"/>
          <w:highlight w:val="none"/>
          <w:lang w:val="en-US" w:eastAsia="zh-CN"/>
        </w:rPr>
        <w:t>种、能繁母猪、育肥猪和奶牛等纳入中央财政补贴险种范围的保险，保费补贴由市级财政全额承担（含中央）。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仔猪养殖保险保费补贴由市级财政承担50%，区级财政承担20%，农户自缴30%。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绿叶菜成本价格指数保险保费补贴市级财政承担比例不高于50%（青菜为50%、其他品种为45%），区级财政承担比例不高于40%（青菜为40%、其他品种为35%），农户自缴不低于10%。</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rPr>
        <w:t>其</w:t>
      </w:r>
      <w:r>
        <w:rPr>
          <w:rFonts w:hint="default" w:ascii="Times New Roman" w:hAnsi="Times New Roman" w:eastAsia="仿宋_GB2312" w:cs="Times New Roman"/>
          <w:kern w:val="0"/>
          <w:sz w:val="32"/>
          <w:szCs w:val="32"/>
          <w:highlight w:val="none"/>
          <w:lang w:val="en-US" w:eastAsia="zh-CN"/>
        </w:rPr>
        <w:t xml:space="preserve">他险种由市级财政承担财政保费补贴部分的40%，区级财政承担财政保费补贴部分的60%。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区级范围财政保费补贴标准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葡萄气象指数保险、草莓气象指数保险、农产品质量安全保险、务农人员意外险（含附加险）、“种养”结合生态农业保险、种羊养殖保险、嘉定白蒜收入保险、农用无人机综合保险、农用库房保险保费补贴标准为70%，其中区级财政承担50%，镇级财政配套20%，生猪重大疫情保险、生猪收入保险、粮食收入保险补贴标准为70%，由区级财政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其他创新型或试点型保险险种按市农业农村委、市财政局等部门要求执行并作相应配套。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鼓励区域特色农业保险、各类指数类和收入类农业保险及涉农财产类保险的试点和推广，区、镇两级财政根据项目特点给予一定标准的财政保费补贴，承担比例根据具体方案商定。</w:t>
      </w:r>
    </w:p>
    <w:p>
      <w:pPr>
        <w:pStyle w:val="2"/>
        <w:pageBreakBefore w:val="0"/>
        <w:kinsoku/>
        <w:wordWrap/>
        <w:overflowPunct/>
        <w:topLinePunct w:val="0"/>
        <w:autoSpaceDE/>
        <w:autoSpaceDN/>
        <w:bidi w:val="0"/>
        <w:spacing w:line="600" w:lineRule="exact"/>
        <w:ind w:left="0" w:leftChars="0" w:right="0" w:rightChars="0" w:firstLine="640" w:firstLineChars="200"/>
        <w:textAlignment w:val="auto"/>
        <w:rPr>
          <w:rFonts w:hint="eastAsia"/>
          <w:color w:val="auto"/>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bidi="ar-SA"/>
        </w:rPr>
        <w:t>区财政局、区农业农村委可根据各险种近年来的生产成本变动、简单赔付率数据等因素，动态调整补贴保额和费率。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第七条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各镇根据实际情况，可提高有关补贴险种的保险金额、增加保险附加险责任等，由此产生的保费补贴部分，由镇级财政自行承担。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第八条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投保人在投保时，须按照保险条款规定的单位补贴保额足额投保，按规定缴纳自付保费，可根据实际情况提高有关补贴险种保险金额、增加保险附加险责任等，由此产生的保费由投保人自行承担。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第九条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对于财政给予保险保费补贴的险种，农业保险机构应当在充分听取区财政局、区农业农村委和农民代表意见的基础上，根据保险责任和风险发生概率合理厘定保险金额和保险费率，完善保险条款，上述保险条款和保险费率应当依法报金融监督管理机构备案。</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jc w:val="center"/>
        <w:textAlignment w:val="auto"/>
        <w:outlineLvl w:val="4"/>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第三章</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w:t>
      </w:r>
      <w:r>
        <w:rPr>
          <w:rFonts w:hint="eastAsia" w:ascii="楷体_GB2312" w:hAnsi="楷体_GB2312" w:eastAsia="楷体_GB2312" w:cs="楷体_GB2312"/>
          <w:b w:val="0"/>
          <w:bCs w:val="0"/>
          <w:color w:val="auto"/>
          <w:spacing w:val="0"/>
          <w:kern w:val="0"/>
          <w:sz w:val="32"/>
          <w:szCs w:val="32"/>
          <w:highlight w:val="none"/>
          <w:lang w:val="en-US" w:eastAsia="zh-CN" w:bidi="ar-SA"/>
        </w:rPr>
        <w:t xml:space="preserve"> </w:t>
      </w:r>
      <w:r>
        <w:rPr>
          <w:rFonts w:hint="eastAsia" w:ascii="黑体" w:hAnsi="黑体" w:eastAsia="黑体" w:cs="黑体"/>
          <w:b w:val="0"/>
          <w:bCs/>
          <w:kern w:val="2"/>
          <w:sz w:val="32"/>
          <w:szCs w:val="32"/>
          <w:highlight w:val="none"/>
          <w:lang w:val="en-US" w:eastAsia="zh-CN" w:bidi="ar-SA"/>
        </w:rPr>
        <w:t>资金管理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区、镇两级财政承担的保费补贴资金列入本级财政预算。</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第十一条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区级财政承担的保费补贴资金，由区农业农村委负责编制年度部门预算。镇级财政承担的保费补贴资金，由镇级相关部门负责编制年度预算，区财政局、区农业农村委监督落实。</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第十二条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区财政局、区农业农村委应当于每年8月底前编制本地区下一年度农业保险保费补贴资金测算表，报送市财政局、市农业农村委。</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第十三条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财政局、区农业农村委应当及时对本地区农业保险投保面积（数量）、保险金额、保险费率和保费补贴标准等开展审核，并于每年2月底前编制完成上年度农业保险财政保费补贴资金清算表，报送市财政局、市农业农村委。</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第十四条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承保机构在承保过程中，应加强对财政保费补贴险种投保情况的审核，避免出现违规投保情况。区财政局、区农业农村委在审核过程中，应避免将不符合投保主体、投保区域以及保险标的等条件的对象纳入财政补贴范围，同时应参照本区域实际生产面积、数量对投保面积、数量进行审核。</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第十五条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各镇应加强农业保险保费补贴资金预算、清算管理工作，涉及的镇级财政配套资金应足额编制年度预算，及时与承保机构自行办理结算与清算。</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第十六条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本区采取投保人自付保费方式，区、镇两级的财政补贴资金应按季度及时与承保机构分别自行结算拨付。</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4"/>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第十七条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如投保人发生退保、批改等业务时，承保机构应在审核扣除相应财政保费补贴后，及时退付投保人相应保费。</w:t>
      </w:r>
    </w:p>
    <w:p>
      <w:pPr>
        <w:pStyle w:val="9"/>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第十八条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区、镇两级根据市财政局、市农业农村委下达的有关农业保险保费补贴资金清算文件及时完成清算。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第十九条</w:t>
      </w:r>
      <w:r>
        <w:rPr>
          <w:rFonts w:hint="eastAsia" w:ascii="Times New Roman" w:hAnsi="Times New Roman" w:eastAsia="楷体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承保机构应当在与被保险人达成赔偿协议后10日内，将应赔偿的保险金支付给被保险人。农业保险合同对赔偿保险金期限有约定的，承保机构应当按照约定履行赔偿保险金义务。承保机构原则上应当通过财政补贴“一卡通”、银行转账等非现金方式，直接将保险赔款支付给农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rPr>
        <w:t>第二十条</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承保机构在确认收到投保人自缴保费后方可出具保险单。承保机构应当按规定在村（组）显著位置或企业公示栏，或通过互联网等方式，将惠农政策、承保情况、理赔结果、服务标准和监管要求进行公示，做到公开透明。</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jc w:val="center"/>
        <w:textAlignment w:val="auto"/>
        <w:outlineLvl w:val="4"/>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第四章</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w:t>
      </w:r>
      <w:r>
        <w:rPr>
          <w:rFonts w:hint="eastAsia" w:ascii="楷体_GB2312" w:hAnsi="楷体_GB2312" w:eastAsia="楷体_GB2312" w:cs="楷体_GB2312"/>
          <w:b w:val="0"/>
          <w:bCs w:val="0"/>
          <w:color w:val="auto"/>
          <w:spacing w:val="0"/>
          <w:kern w:val="0"/>
          <w:sz w:val="32"/>
          <w:szCs w:val="32"/>
          <w:highlight w:val="none"/>
          <w:lang w:val="en-US" w:eastAsia="zh-CN" w:bidi="ar-SA"/>
        </w:rPr>
        <w:t xml:space="preserve"> </w:t>
      </w:r>
      <w:r>
        <w:rPr>
          <w:rFonts w:hint="eastAsia" w:ascii="黑体" w:hAnsi="黑体" w:eastAsia="黑体" w:cs="黑体"/>
          <w:b w:val="0"/>
          <w:bCs/>
          <w:kern w:val="2"/>
          <w:sz w:val="32"/>
          <w:szCs w:val="32"/>
          <w:highlight w:val="none"/>
          <w:lang w:val="en-US" w:eastAsia="zh-CN" w:bidi="ar-SA"/>
        </w:rPr>
        <w:t>绩效评价和监督管理</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第二十一条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区财政局、区农业农村委应当按照全面实施预算绩效管理的有关规定，进一步完善农业保险保费补贴绩效评价，并将评价结果与完善农业保险政策、遴选承保机构等工作挂钩。区财政局、区农业农村委在各镇自查的基础上，适时对农业保险保费补贴工作进行监督检查。</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第二十二条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各镇应高度重视农业保险工作，建立健全工作机制和基层服务体系，并结合本地财政状况、特色农业发展和农户承受能力等因素，提出相关农业保险补贴政策的建议，落实保险资金配套政策，并报备区区财政局、区农业农村委。根据都市现代绿色农业发展方向以及市、区有关产业政策导向，引导生产者投保，采取多种形式，加强对农业保险的宣传力度，提高农业保险政策知晓度，增强投保人保险意识。</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第二十三条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农业保险机构应当切实提高承保理赔效率，进一步提升投保满意度。</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第二十四条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禁止以下方式骗取农业保险保费补贴：</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（一）虚构或者虚增保险标的，或者以同一保险标的进行多次投保；</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（二）通过虚假理赔、虚列费用、虚假退保或者截留、代领或挪用赔款、挪用经营费用等方式，冲销投保人缴纳保费或者财政补贴资金；</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（三）其他骗取农业保险保费补贴资金的方式。</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第二十五条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财政、农业农村部门及其工作人员在农业保险保费补贴资金管理中，存在违反本办法规定以及其他滥用职权、玩忽职守、徇私舞弊等违法违规行为的，依法追究相应责任；涉嫌犯罪的，依法移送有关机关处理。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jc w:val="center"/>
        <w:textAlignment w:val="auto"/>
        <w:outlineLvl w:val="4"/>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第五章</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w:t>
      </w:r>
      <w:r>
        <w:rPr>
          <w:rFonts w:hint="eastAsia" w:ascii="楷体_GB2312" w:hAnsi="楷体_GB2312" w:eastAsia="楷体_GB2312" w:cs="楷体_GB2312"/>
          <w:b w:val="0"/>
          <w:bCs w:val="0"/>
          <w:color w:val="auto"/>
          <w:spacing w:val="0"/>
          <w:kern w:val="0"/>
          <w:sz w:val="32"/>
          <w:szCs w:val="32"/>
          <w:highlight w:val="none"/>
          <w:lang w:val="en-US" w:eastAsia="zh-CN" w:bidi="ar-SA"/>
        </w:rPr>
        <w:t xml:space="preserve"> </w:t>
      </w:r>
      <w:r>
        <w:rPr>
          <w:rFonts w:hint="eastAsia" w:ascii="黑体" w:hAnsi="黑体" w:eastAsia="黑体" w:cs="黑体"/>
          <w:b w:val="0"/>
          <w:bCs/>
          <w:kern w:val="2"/>
          <w:sz w:val="32"/>
          <w:szCs w:val="32"/>
          <w:highlight w:val="none"/>
          <w:lang w:val="en-US" w:eastAsia="zh-CN" w:bidi="ar-SA"/>
        </w:rPr>
        <w:t>附则</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bCs/>
          <w:color w:val="auto"/>
          <w:spacing w:val="0"/>
          <w:kern w:val="0"/>
          <w:sz w:val="32"/>
          <w:szCs w:val="32"/>
          <w:highlight w:val="none"/>
          <w:lang w:val="en-US" w:eastAsia="zh-CN" w:bidi="ar-SA"/>
        </w:rPr>
        <w:t>第二十六条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本办法涉及的区级财政保费补贴险种条款应事先报经区财政局、区农业农村委审核后，由承保机构依法报金融监督管理机构备案。</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auto"/>
          <w:spacing w:val="0"/>
          <w:kern w:val="0"/>
          <w:sz w:val="32"/>
          <w:szCs w:val="32"/>
          <w:highlight w:val="none"/>
          <w:lang w:val="en-US" w:eastAsia="zh-CN" w:bidi="ar-SA"/>
        </w:rPr>
        <w:t>第二十七条</w:t>
      </w:r>
      <w:r>
        <w:rPr>
          <w:rFonts w:hint="eastAsia" w:ascii="仿宋_GB2312" w:hAnsi="仿宋_GB2312" w:eastAsia="仿宋_GB2312" w:cs="仿宋_GB2312"/>
          <w:b w:val="0"/>
          <w:bCs w:val="0"/>
          <w:color w:val="auto"/>
          <w:spacing w:val="0"/>
          <w:kern w:val="0"/>
          <w:sz w:val="32"/>
          <w:szCs w:val="32"/>
          <w:highlight w:val="none"/>
          <w:lang w:val="en-US" w:eastAsia="zh-CN" w:bidi="ar-SA"/>
        </w:rPr>
        <w:t xml:space="preserve">  本办法自2026年1月1日起施行，有效期至2029年12月31日，与市级财政补贴不一致的，以市级为准。</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textAlignment w:val="auto"/>
        <w:outlineLvl w:val="4"/>
        <w:rPr>
          <w:rFonts w:hint="eastAsia" w:ascii="仿宋_GB2312" w:hAnsi="宋体" w:eastAsia="仿宋_GB2312"/>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附件：1.市级财政补贴险种单位补贴保额及费率指导标准</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1600" w:firstLineChars="500"/>
        <w:textAlignment w:val="auto"/>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2.区级财政补贴险种单位补贴保额及费率指导标准</w:t>
      </w:r>
    </w:p>
    <w:p>
      <w:pPr>
        <w:pStyle w:val="2"/>
        <w:pageBreakBefore w:val="0"/>
        <w:kinsoku/>
        <w:wordWrap/>
        <w:overflowPunct/>
        <w:topLinePunct w:val="0"/>
        <w:autoSpaceDE/>
        <w:autoSpaceDN/>
        <w:bidi w:val="0"/>
        <w:spacing w:line="600" w:lineRule="exact"/>
        <w:ind w:left="0" w:leftChars="0" w:right="0" w:rightChars="0"/>
        <w:textAlignment w:val="auto"/>
        <w:rPr>
          <w:rFonts w:hint="eastAsia"/>
          <w:lang w:val="en-US" w:eastAsia="zh-CN"/>
        </w:rPr>
      </w:pPr>
    </w:p>
    <w:p>
      <w:pPr>
        <w:keepNext w:val="0"/>
        <w:keepLines w:val="0"/>
        <w:pageBreakBefore w:val="0"/>
        <w:tabs>
          <w:tab w:val="right" w:pos="6810"/>
        </w:tabs>
        <w:kinsoku/>
        <w:wordWrap/>
        <w:overflowPunct/>
        <w:topLinePunct w:val="0"/>
        <w:autoSpaceDE/>
        <w:autoSpaceDN/>
        <w:bidi w:val="0"/>
        <w:adjustRightInd w:val="0"/>
        <w:snapToGrid w:val="0"/>
        <w:spacing w:line="560" w:lineRule="exact"/>
        <w:ind w:right="0" w:rightChars="0" w:firstLine="1920" w:firstLineChars="600"/>
        <w:textAlignment w:val="auto"/>
        <w:rPr>
          <w:rFonts w:hint="eastAsia" w:ascii="仿宋_GB2312" w:hAnsi="仿宋_GB2312" w:eastAsia="仿宋_GB2312" w:cs="仿宋_GB2312"/>
          <w:b w:val="0"/>
          <w:bCs w:val="0"/>
          <w:color w:val="0000FF"/>
          <w:spacing w:val="0"/>
          <w:kern w:val="0"/>
          <w:sz w:val="32"/>
          <w:szCs w:val="32"/>
          <w:highlight w:val="none"/>
          <w:lang w:val="en-US" w:eastAsia="zh-CN" w:bidi="ar-SA"/>
        </w:rPr>
      </w:pPr>
      <w:r>
        <w:rPr>
          <w:rFonts w:hint="eastAsia" w:ascii="仿宋_GB2312" w:hAnsi="仿宋_GB2312" w:eastAsia="仿宋_GB2312" w:cs="仿宋_GB2312"/>
          <w:b w:val="0"/>
          <w:bCs w:val="0"/>
          <w:color w:val="0000FF"/>
          <w:spacing w:val="0"/>
          <w:kern w:val="0"/>
          <w:sz w:val="32"/>
          <w:szCs w:val="32"/>
          <w:highlight w:val="none"/>
          <w:lang w:val="en-US" w:eastAsia="zh-CN" w:bidi="ar-SA"/>
        </w:rPr>
        <w:tab/>
      </w:r>
    </w:p>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outlineLvl w:val="4"/>
        <w:rPr>
          <w:rFonts w:hint="eastAsia" w:ascii="仿宋_GB2312" w:hAnsi="宋体" w:eastAsia="仿宋_GB2312"/>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outlineLvl w:val="4"/>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bookmarkStart w:id="0" w:name="_GoBack"/>
      <w:bookmarkEnd w:id="0"/>
    </w:p>
    <w:p>
      <w:pPr>
        <w:pStyle w:val="2"/>
        <w:rPr>
          <w:rFonts w:hint="eastAsia" w:ascii="仿宋_GB2312"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kern w:val="0"/>
          <w:sz w:val="36"/>
          <w:szCs w:val="36"/>
          <w:lang w:val="en-US" w:eastAsia="zh-CN" w:bidi="ar-SA"/>
        </w:rPr>
      </w:pPr>
      <w:r>
        <w:rPr>
          <w:rFonts w:hint="eastAsia" w:ascii="方正小标宋简体" w:hAnsi="方正小标宋简体" w:eastAsia="方正小标宋简体" w:cs="方正小标宋简体"/>
          <w:b w:val="0"/>
          <w:bCs w:val="0"/>
          <w:kern w:val="0"/>
          <w:sz w:val="36"/>
          <w:szCs w:val="36"/>
          <w:lang w:val="en-US" w:eastAsia="zh-CN" w:bidi="ar-SA"/>
        </w:rPr>
        <w:t>市级</w:t>
      </w:r>
      <w:r>
        <w:rPr>
          <w:rFonts w:hint="default" w:ascii="方正小标宋简体" w:hAnsi="方正小标宋简体" w:eastAsia="方正小标宋简体" w:cs="方正小标宋简体"/>
          <w:b w:val="0"/>
          <w:bCs w:val="0"/>
          <w:kern w:val="0"/>
          <w:sz w:val="36"/>
          <w:szCs w:val="36"/>
          <w:lang w:val="en-US" w:eastAsia="zh-CN" w:bidi="ar-SA"/>
        </w:rPr>
        <w:t>财政补贴险种单位保额</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kern w:val="0"/>
          <w:sz w:val="36"/>
          <w:szCs w:val="36"/>
          <w:lang w:val="en-US" w:eastAsia="zh-CN" w:bidi="ar-SA"/>
        </w:rPr>
      </w:pPr>
      <w:r>
        <w:rPr>
          <w:rFonts w:hint="default" w:ascii="方正小标宋简体" w:hAnsi="方正小标宋简体" w:eastAsia="方正小标宋简体" w:cs="方正小标宋简体"/>
          <w:b w:val="0"/>
          <w:bCs w:val="0"/>
          <w:kern w:val="0"/>
          <w:sz w:val="36"/>
          <w:szCs w:val="36"/>
          <w:lang w:val="en-US" w:eastAsia="zh-CN" w:bidi="ar-SA"/>
        </w:rPr>
        <w:t>及费率标准</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sz w:val="24"/>
          <w:lang w:val="en-US" w:eastAsia="zh-CN"/>
        </w:rPr>
        <w:t>　</w:t>
      </w:r>
      <w:r>
        <w:rPr>
          <w:rFonts w:hint="default" w:ascii="Times New Roman" w:hAnsi="Times New Roman" w:cs="Times New Roman"/>
          <w:sz w:val="21"/>
          <w:szCs w:val="21"/>
          <w:lang w:val="en-US" w:eastAsia="zh-CN"/>
        </w:rPr>
        <w:t xml:space="preserve">单位：元／亩（吨、头、羽、总吨位、亩次）、台（套）  </w:t>
      </w:r>
    </w:p>
    <w:tbl>
      <w:tblPr>
        <w:tblStyle w:val="12"/>
        <w:tblW w:w="9520" w:type="dxa"/>
        <w:jc w:val="center"/>
        <w:tblInd w:w="0" w:type="dxa"/>
        <w:tblLayout w:type="fixed"/>
        <w:tblCellMar>
          <w:top w:w="0" w:type="dxa"/>
          <w:left w:w="108" w:type="dxa"/>
          <w:bottom w:w="0" w:type="dxa"/>
          <w:right w:w="108" w:type="dxa"/>
        </w:tblCellMar>
      </w:tblPr>
      <w:tblGrid>
        <w:gridCol w:w="1286"/>
        <w:gridCol w:w="1134"/>
        <w:gridCol w:w="523"/>
        <w:gridCol w:w="1681"/>
        <w:gridCol w:w="2830"/>
        <w:gridCol w:w="2066"/>
      </w:tblGrid>
      <w:tr>
        <w:tblPrEx>
          <w:tblLayout w:type="fixed"/>
          <w:tblCellMar>
            <w:top w:w="0" w:type="dxa"/>
            <w:left w:w="108" w:type="dxa"/>
            <w:bottom w:w="0" w:type="dxa"/>
            <w:right w:w="108" w:type="dxa"/>
          </w:tblCellMar>
        </w:tblPrEx>
        <w:trPr>
          <w:cantSplit/>
          <w:trHeight w:val="711" w:hRule="atLeast"/>
          <w:tblHeader/>
          <w:jc w:val="center"/>
        </w:trPr>
        <w:tc>
          <w:tcPr>
            <w:tcW w:w="128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险别</w:t>
            </w: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险种</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单位保额</w:t>
            </w:r>
          </w:p>
          <w:p>
            <w:pPr>
              <w:pStyle w:val="17"/>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上限</w:t>
            </w:r>
            <w:r>
              <w:rPr>
                <w:rFonts w:hint="default" w:ascii="Times New Roman" w:hAnsi="Times New Roman" w:cs="Times New Roman"/>
                <w:b/>
                <w:bCs/>
                <w:color w:val="auto"/>
                <w:highlight w:val="none"/>
                <w:lang w:eastAsia="zh-CN"/>
              </w:rPr>
              <w:t>）</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费率</w:t>
            </w:r>
          </w:p>
          <w:p>
            <w:pPr>
              <w:pStyle w:val="17"/>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上限</w:t>
            </w:r>
            <w:r>
              <w:rPr>
                <w:rFonts w:hint="default" w:ascii="Times New Roman" w:hAnsi="Times New Roman" w:cs="Times New Roman"/>
                <w:b/>
                <w:bCs/>
                <w:color w:val="auto"/>
                <w:highlight w:val="none"/>
                <w:lang w:eastAsia="zh-CN"/>
              </w:rPr>
              <w:t>）</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种植业类</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水稻</w:t>
            </w:r>
          </w:p>
        </w:tc>
        <w:tc>
          <w:tcPr>
            <w:tcW w:w="2204" w:type="dxa"/>
            <w:gridSpan w:val="2"/>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物化成本保险</w:t>
            </w:r>
          </w:p>
        </w:tc>
        <w:tc>
          <w:tcPr>
            <w:tcW w:w="2830" w:type="dxa"/>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1000</w:t>
            </w:r>
          </w:p>
        </w:tc>
        <w:tc>
          <w:tcPr>
            <w:tcW w:w="2066" w:type="dxa"/>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w:t>
            </w:r>
          </w:p>
        </w:tc>
      </w:tr>
      <w:tr>
        <w:tblPrEx>
          <w:tblLayout w:type="fixed"/>
          <w:tblCellMar>
            <w:top w:w="0" w:type="dxa"/>
            <w:left w:w="108" w:type="dxa"/>
            <w:bottom w:w="0" w:type="dxa"/>
            <w:right w:w="108" w:type="dxa"/>
          </w:tblCellMar>
        </w:tblPrEx>
        <w:trPr>
          <w:cantSplit/>
          <w:trHeight w:val="380"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完全成本保险</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1400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小麦</w:t>
            </w: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物化成本保险</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val="en-US" w:eastAsia="zh-CN"/>
              </w:rPr>
              <w:t>6</w:t>
            </w:r>
            <w:r>
              <w:rPr>
                <w:rFonts w:hint="default" w:ascii="Times New Roman" w:hAnsi="Times New Roman" w:cs="Times New Roman"/>
                <w:b w:val="0"/>
                <w:bCs w:val="0"/>
                <w:color w:val="auto"/>
                <w:highlight w:val="none"/>
              </w:rPr>
              <w:t>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w:t>
            </w:r>
          </w:p>
        </w:tc>
      </w:tr>
      <w:tr>
        <w:tblPrEx>
          <w:tblLayout w:type="fixed"/>
          <w:tblCellMar>
            <w:top w:w="0" w:type="dxa"/>
            <w:left w:w="108" w:type="dxa"/>
            <w:bottom w:w="0" w:type="dxa"/>
            <w:right w:w="108" w:type="dxa"/>
          </w:tblCellMar>
        </w:tblPrEx>
        <w:trPr>
          <w:cantSplit/>
          <w:trHeight w:val="449"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rPr>
              <w:t>完全成本保险</w:t>
            </w:r>
          </w:p>
        </w:tc>
        <w:tc>
          <w:tcPr>
            <w:tcW w:w="2830" w:type="dxa"/>
            <w:tcBorders>
              <w:top w:val="nil"/>
              <w:left w:val="nil"/>
              <w:bottom w:val="single" w:color="auto"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lang w:val="en-US" w:eastAsia="zh-CN"/>
              </w:rPr>
              <w:t>1000</w:t>
            </w:r>
          </w:p>
        </w:tc>
        <w:tc>
          <w:tcPr>
            <w:tcW w:w="2066" w:type="dxa"/>
            <w:tcBorders>
              <w:top w:val="nil"/>
              <w:left w:val="nil"/>
              <w:bottom w:val="single" w:color="auto"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rPr>
              <w:t>4%</w:t>
            </w:r>
          </w:p>
        </w:tc>
      </w:tr>
      <w:tr>
        <w:tblPrEx>
          <w:tblLayout w:type="fixed"/>
          <w:tblCellMar>
            <w:top w:w="0" w:type="dxa"/>
            <w:left w:w="108" w:type="dxa"/>
            <w:bottom w:w="0" w:type="dxa"/>
            <w:right w:w="108" w:type="dxa"/>
          </w:tblCellMar>
        </w:tblPrEx>
        <w:trPr>
          <w:cantSplit/>
          <w:trHeight w:val="449"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油菜</w:t>
            </w:r>
          </w:p>
        </w:tc>
        <w:tc>
          <w:tcPr>
            <w:tcW w:w="2830" w:type="dxa"/>
            <w:tcBorders>
              <w:top w:val="nil"/>
              <w:left w:val="nil"/>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600</w:t>
            </w:r>
          </w:p>
        </w:tc>
        <w:tc>
          <w:tcPr>
            <w:tcW w:w="2066" w:type="dxa"/>
            <w:tcBorders>
              <w:top w:val="nil"/>
              <w:left w:val="nil"/>
              <w:bottom w:val="single" w:color="auto"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蔬菜</w:t>
            </w: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露地</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3500</w:t>
            </w:r>
          </w:p>
        </w:tc>
        <w:tc>
          <w:tcPr>
            <w:tcW w:w="2066" w:type="dxa"/>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0</w:t>
            </w:r>
            <w:r>
              <w:rPr>
                <w:rFonts w:hint="default" w:ascii="Times New Roman" w:hAnsi="Times New Roman" w:cs="Times New Roman"/>
                <w:b w:val="0"/>
                <w:bCs w:val="0"/>
                <w:color w:val="auto"/>
                <w:highlight w:val="none"/>
              </w:rPr>
              <w:t>%</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保护地</w:t>
            </w:r>
          </w:p>
        </w:tc>
        <w:tc>
          <w:tcPr>
            <w:tcW w:w="2830" w:type="dxa"/>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8000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水果</w:t>
            </w: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西瓜、甜瓜</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夏收</w:t>
            </w:r>
            <w:r>
              <w:rPr>
                <w:rFonts w:hint="default" w:ascii="Times New Roman" w:hAnsi="Times New Roman" w:cs="Times New Roman"/>
                <w:b w:val="0"/>
                <w:bCs w:val="0"/>
                <w:color w:val="auto"/>
                <w:highlight w:val="none"/>
                <w:lang w:eastAsia="zh-CN"/>
              </w:rPr>
              <w:t>）</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西瓜、甜瓜</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秋收</w:t>
            </w:r>
            <w:r>
              <w:rPr>
                <w:rFonts w:hint="default" w:ascii="Times New Roman" w:hAnsi="Times New Roman" w:cs="Times New Roman"/>
                <w:b w:val="0"/>
                <w:bCs w:val="0"/>
                <w:color w:val="auto"/>
                <w:highlight w:val="none"/>
                <w:lang w:eastAsia="zh-CN"/>
              </w:rPr>
              <w:t>）</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1500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13%</w:t>
            </w:r>
          </w:p>
        </w:tc>
      </w:tr>
      <w:tr>
        <w:tblPrEx>
          <w:tblLayout w:type="fixed"/>
          <w:tblCellMar>
            <w:top w:w="0" w:type="dxa"/>
            <w:left w:w="108" w:type="dxa"/>
            <w:bottom w:w="0" w:type="dxa"/>
            <w:right w:w="108" w:type="dxa"/>
          </w:tblCellMar>
        </w:tblPrEx>
        <w:trPr>
          <w:cantSplit/>
          <w:trHeight w:val="711"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西瓜、甜瓜</w:t>
            </w:r>
          </w:p>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一茬多收</w:t>
            </w:r>
            <w:r>
              <w:rPr>
                <w:rFonts w:hint="default" w:ascii="Times New Roman" w:hAnsi="Times New Roman" w:cs="Times New Roman"/>
                <w:b w:val="0"/>
                <w:bCs w:val="0"/>
                <w:color w:val="auto"/>
                <w:highlight w:val="none"/>
                <w:lang w:eastAsia="zh-CN"/>
              </w:rPr>
              <w:t>）</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13%</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柑橘</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3000</w:t>
            </w:r>
          </w:p>
        </w:tc>
        <w:tc>
          <w:tcPr>
            <w:tcW w:w="2066" w:type="dxa"/>
            <w:tcBorders>
              <w:top w:val="nil"/>
              <w:left w:val="nil"/>
              <w:bottom w:val="single" w:color="auto" w:sz="4" w:space="0"/>
              <w:right w:val="single" w:color="auto" w:sz="4" w:space="0"/>
            </w:tcBorders>
            <w:vAlign w:val="bottom"/>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葡萄</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桃</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梨</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4000</w:t>
            </w:r>
          </w:p>
        </w:tc>
        <w:tc>
          <w:tcPr>
            <w:tcW w:w="2066" w:type="dxa"/>
            <w:tcBorders>
              <w:top w:val="nil"/>
              <w:left w:val="nil"/>
              <w:bottom w:val="single" w:color="auto" w:sz="4" w:space="0"/>
              <w:right w:val="single" w:color="auto" w:sz="4" w:space="0"/>
            </w:tcBorders>
            <w:vAlign w:val="bottom"/>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711"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草莓</w:t>
            </w:r>
          </w:p>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一茬多收</w:t>
            </w:r>
            <w:r>
              <w:rPr>
                <w:rFonts w:hint="default" w:ascii="Times New Roman" w:hAnsi="Times New Roman" w:cs="Times New Roman"/>
                <w:b w:val="0"/>
                <w:bCs w:val="0"/>
                <w:color w:val="auto"/>
                <w:highlight w:val="none"/>
                <w:lang w:eastAsia="zh-CN"/>
              </w:rPr>
              <w:t>）</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12000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其他水果</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3000</w:t>
            </w:r>
          </w:p>
        </w:tc>
        <w:tc>
          <w:tcPr>
            <w:tcW w:w="2066" w:type="dxa"/>
            <w:tcBorders>
              <w:top w:val="nil"/>
              <w:left w:val="nil"/>
              <w:bottom w:val="single" w:color="auto" w:sz="4" w:space="0"/>
              <w:right w:val="single" w:color="auto" w:sz="4" w:space="0"/>
            </w:tcBorders>
            <w:vAlign w:val="bottom"/>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食用菌</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restart"/>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养殖业类</w:t>
            </w:r>
          </w:p>
        </w:tc>
        <w:tc>
          <w:tcPr>
            <w:tcW w:w="3338" w:type="dxa"/>
            <w:gridSpan w:val="3"/>
            <w:tcBorders>
              <w:top w:val="single" w:color="auto" w:sz="4" w:space="0"/>
              <w:left w:val="nil"/>
              <w:bottom w:val="single" w:color="auto" w:sz="4" w:space="0"/>
              <w:right w:val="single" w:color="000000"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能繁母猪</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3000</w:t>
            </w:r>
          </w:p>
        </w:tc>
        <w:tc>
          <w:tcPr>
            <w:tcW w:w="2066" w:type="dxa"/>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nil"/>
              <w:bottom w:val="single" w:color="auto" w:sz="4" w:space="0"/>
              <w:right w:val="single" w:color="000000"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育肥猪</w:t>
            </w:r>
          </w:p>
        </w:tc>
        <w:tc>
          <w:tcPr>
            <w:tcW w:w="2830" w:type="dxa"/>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1300</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nil"/>
              <w:bottom w:val="single" w:color="auto" w:sz="4" w:space="0"/>
              <w:right w:val="single" w:color="000000"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仔猪</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nil"/>
              <w:bottom w:val="single" w:color="auto" w:sz="4" w:space="0"/>
              <w:right w:val="single" w:color="000000"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奶牛</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羊</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禽类</w:t>
            </w: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肉鸡</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27</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2.5%</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蛋鸡</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45</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4%</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鸽子</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18</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i w:val="0"/>
                <w:color w:val="auto"/>
                <w:kern w:val="2"/>
                <w:sz w:val="24"/>
                <w:szCs w:val="24"/>
                <w:highlight w:val="none"/>
                <w:u w:val="none"/>
                <w:lang w:val="en-US" w:eastAsia="zh-CN" w:bidi="ar"/>
              </w:rPr>
              <w:t>6%</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淡水水产</w:t>
            </w: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四大家鱼</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3500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w:t>
            </w:r>
          </w:p>
        </w:tc>
      </w:tr>
      <w:tr>
        <w:tblPrEx>
          <w:tblLayout w:type="fixed"/>
          <w:tblCellMar>
            <w:top w:w="0" w:type="dxa"/>
            <w:left w:w="108" w:type="dxa"/>
            <w:bottom w:w="0" w:type="dxa"/>
            <w:right w:w="108" w:type="dxa"/>
          </w:tblCellMar>
        </w:tblPrEx>
        <w:trPr>
          <w:cantSplit/>
          <w:trHeight w:val="711"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南美白对虾、罗氏沼虾</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55</w:t>
            </w:r>
            <w:r>
              <w:rPr>
                <w:rFonts w:hint="default" w:ascii="Times New Roman" w:hAnsi="Times New Roman" w:cs="Times New Roman"/>
                <w:b w:val="0"/>
                <w:bCs w:val="0"/>
                <w:color w:val="auto"/>
                <w:highlight w:val="none"/>
              </w:rPr>
              <w:t>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15</w:t>
            </w:r>
            <w:r>
              <w:rPr>
                <w:rFonts w:hint="default" w:ascii="Times New Roman" w:hAnsi="Times New Roman" w:cs="Times New Roman"/>
                <w:b w:val="0"/>
                <w:bCs w:val="0"/>
                <w:color w:val="auto"/>
                <w:highlight w:val="none"/>
              </w:rPr>
              <w:t>%</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中华绒螯蟹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rPr>
              <w:t>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restart"/>
            <w:tcBorders>
              <w:top w:val="nil"/>
              <w:left w:val="single" w:color="auto" w:sz="4" w:space="0"/>
              <w:bottom w:val="single" w:color="000000"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种源类</w:t>
            </w:r>
          </w:p>
        </w:tc>
        <w:tc>
          <w:tcPr>
            <w:tcW w:w="3338" w:type="dxa"/>
            <w:gridSpan w:val="3"/>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杂交水稻制种</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top w:val="nil"/>
              <w:left w:val="single" w:color="auto" w:sz="4" w:space="0"/>
              <w:bottom w:val="single" w:color="000000"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青菜制种</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1250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top w:val="nil"/>
              <w:left w:val="single" w:color="auto" w:sz="4" w:space="0"/>
              <w:bottom w:val="single" w:color="000000"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种公猪</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种禽</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restart"/>
            <w:tcBorders>
              <w:top w:val="single" w:color="auto" w:sz="4" w:space="0"/>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大棚设施类</w:t>
            </w: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GP-C622Z</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六型棚</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23000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2.2%</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GP-C832Z</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八型棚</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32000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GLP-630</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连栋棚</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59000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1.8%</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GLP-6330</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连栋棚</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85000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1.8%</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GSW84</w:t>
            </w:r>
            <w:r>
              <w:rPr>
                <w:rFonts w:hint="default" w:ascii="Times New Roman" w:hAnsi="Times New Roman" w:cs="Times New Roman"/>
                <w:b w:val="0"/>
                <w:bCs w:val="0"/>
                <w:color w:val="auto"/>
                <w:highlight w:val="none"/>
                <w:lang w:eastAsia="zh-CN"/>
              </w:rPr>
              <w:t>系列（</w:t>
            </w:r>
            <w:r>
              <w:rPr>
                <w:rFonts w:hint="default" w:ascii="Times New Roman" w:hAnsi="Times New Roman" w:cs="Times New Roman"/>
                <w:b w:val="0"/>
                <w:bCs w:val="0"/>
                <w:color w:val="auto"/>
                <w:highlight w:val="none"/>
              </w:rPr>
              <w:t>连栋棚</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100000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1.8%</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玻璃温室</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430000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0.15%</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温室薄膜</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国产</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1650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18%</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温室薄膜</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进口</w:t>
            </w:r>
            <w:r>
              <w:rPr>
                <w:rFonts w:hint="default" w:ascii="Times New Roman" w:hAnsi="Times New Roman" w:cs="Times New Roman"/>
                <w:b w:val="0"/>
                <w:bCs w:val="0"/>
                <w:color w:val="auto"/>
                <w:highlight w:val="none"/>
                <w:lang w:eastAsia="zh-CN"/>
              </w:rPr>
              <w:t>）</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2200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7%</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遮阳网、防虫网　</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1100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菇棚</w:t>
            </w: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彩钢菇棚</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100000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0.5%</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竹草菇棚</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保温膜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16%</w:t>
            </w:r>
          </w:p>
        </w:tc>
      </w:tr>
      <w:tr>
        <w:tblPrEx>
          <w:tblLayout w:type="fixed"/>
          <w:tblCellMar>
            <w:top w:w="0" w:type="dxa"/>
            <w:left w:w="108" w:type="dxa"/>
            <w:bottom w:w="0" w:type="dxa"/>
            <w:right w:w="108" w:type="dxa"/>
          </w:tblCellMar>
        </w:tblPrEx>
        <w:trPr>
          <w:cantSplit/>
          <w:trHeight w:val="654" w:hRule="atLeast"/>
          <w:jc w:val="center"/>
        </w:trPr>
        <w:tc>
          <w:tcPr>
            <w:tcW w:w="1286"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8234" w:type="dxa"/>
            <w:gridSpan w:val="5"/>
            <w:tcBorders>
              <w:top w:val="single" w:color="auto" w:sz="4" w:space="0"/>
              <w:left w:val="single" w:color="auto" w:sz="4" w:space="0"/>
              <w:bottom w:val="single" w:color="auto" w:sz="4" w:space="0"/>
              <w:right w:val="single" w:color="auto" w:sz="4" w:space="0"/>
            </w:tcBorders>
            <w:vAlign w:val="center"/>
          </w:tcPr>
          <w:p>
            <w:pPr>
              <w:pStyle w:val="17"/>
              <w:ind w:firstLine="0" w:firstLineChars="0"/>
              <w:jc w:val="left"/>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备注：实际单位补贴保额按保险标的价值乘以年折旧率计算，最高不超过本表上限。</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restart"/>
            <w:tcBorders>
              <w:top w:val="single" w:color="auto" w:sz="4" w:space="0"/>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农机具</w:t>
            </w:r>
          </w:p>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综合类</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农用型</w:t>
            </w:r>
            <w:r>
              <w:rPr>
                <w:rFonts w:hint="default" w:ascii="Times New Roman" w:hAnsi="Times New Roman" w:cs="Times New Roman"/>
                <w:b w:val="0"/>
                <w:bCs w:val="0"/>
                <w:color w:val="auto"/>
                <w:highlight w:val="none"/>
              </w:rPr>
              <w:br w:type="textWrapping"/>
            </w:r>
            <w:r>
              <w:rPr>
                <w:rFonts w:hint="default" w:ascii="Times New Roman" w:hAnsi="Times New Roman" w:cs="Times New Roman"/>
                <w:b w:val="0"/>
                <w:bCs w:val="0"/>
                <w:color w:val="auto"/>
                <w:highlight w:val="none"/>
              </w:rPr>
              <w:t>拖拉机</w:t>
            </w:r>
          </w:p>
        </w:tc>
        <w:tc>
          <w:tcPr>
            <w:tcW w:w="2204" w:type="dxa"/>
            <w:gridSpan w:val="2"/>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14.7千瓦以下</w:t>
            </w:r>
          </w:p>
        </w:tc>
        <w:tc>
          <w:tcPr>
            <w:tcW w:w="2830" w:type="dxa"/>
            <w:tcBorders>
              <w:top w:val="single" w:color="auto" w:sz="4" w:space="0"/>
              <w:left w:val="single" w:color="auto" w:sz="4" w:space="0"/>
              <w:bottom w:val="single" w:color="000000"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12000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single" w:color="auto" w:sz="4" w:space="0"/>
              <w:left w:val="single" w:color="auto" w:sz="4" w:space="0"/>
              <w:bottom w:val="single" w:color="000000"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350</w:t>
            </w:r>
            <w:r>
              <w:rPr>
                <w:rFonts w:hint="default" w:ascii="Times New Roman" w:hAnsi="Times New Roman" w:cs="Times New Roman"/>
                <w:b w:val="0"/>
                <w:bCs w:val="0"/>
                <w:color w:val="auto"/>
                <w:highlight w:val="none"/>
              </w:rPr>
              <w:t>元/年</w:t>
            </w:r>
          </w:p>
        </w:tc>
      </w:tr>
      <w:tr>
        <w:tblPrEx>
          <w:tblLayout w:type="fixed"/>
          <w:tblCellMar>
            <w:top w:w="0" w:type="dxa"/>
            <w:left w:w="108" w:type="dxa"/>
            <w:bottom w:w="0" w:type="dxa"/>
            <w:right w:w="108" w:type="dxa"/>
          </w:tblCellMar>
        </w:tblPrEx>
        <w:trPr>
          <w:cantSplit/>
          <w:trHeight w:val="874"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14.7千瓦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含</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以上</w:t>
            </w:r>
            <w:r>
              <w:rPr>
                <w:rFonts w:hint="default" w:ascii="Times New Roman" w:hAnsi="Times New Roman" w:cs="Times New Roman"/>
                <w:b w:val="0"/>
                <w:bCs w:val="0"/>
                <w:color w:val="auto"/>
                <w:highlight w:val="none"/>
              </w:rPr>
              <w:br w:type="textWrapping"/>
            </w:r>
            <w:r>
              <w:rPr>
                <w:rFonts w:hint="default" w:ascii="Times New Roman" w:hAnsi="Times New Roman" w:cs="Times New Roman"/>
                <w:b w:val="0"/>
                <w:bCs w:val="0"/>
                <w:color w:val="auto"/>
                <w:highlight w:val="none"/>
              </w:rPr>
              <w:t>58.8千瓦以下</w:t>
            </w:r>
          </w:p>
        </w:tc>
        <w:tc>
          <w:tcPr>
            <w:tcW w:w="2830" w:type="dxa"/>
            <w:tcBorders>
              <w:top w:val="nil"/>
              <w:left w:val="single" w:color="auto" w:sz="4" w:space="0"/>
              <w:bottom w:val="single" w:color="000000"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lang w:val="en-US" w:eastAsia="zh-CN"/>
              </w:rPr>
              <w:t>10</w:t>
            </w:r>
            <w:r>
              <w:rPr>
                <w:rFonts w:hint="default" w:ascii="Times New Roman" w:hAnsi="Times New Roman" w:cs="Times New Roman"/>
                <w:b w:val="0"/>
                <w:bCs w:val="0"/>
                <w:color w:val="auto"/>
                <w:highlight w:val="none"/>
              </w:rPr>
              <w:t>0000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nil"/>
              <w:left w:val="single" w:color="auto" w:sz="4" w:space="0"/>
              <w:bottom w:val="single" w:color="000000"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rPr>
              <w:t>425元/年</w:t>
            </w:r>
          </w:p>
        </w:tc>
      </w:tr>
      <w:tr>
        <w:tblPrEx>
          <w:tblLayout w:type="fixed"/>
          <w:tblCellMar>
            <w:top w:w="0" w:type="dxa"/>
            <w:left w:w="108" w:type="dxa"/>
            <w:bottom w:w="0" w:type="dxa"/>
            <w:right w:w="108" w:type="dxa"/>
          </w:tblCellMar>
        </w:tblPrEx>
        <w:trPr>
          <w:cantSplit/>
          <w:trHeight w:val="592"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58.8千瓦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含</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以上</w:t>
            </w:r>
          </w:p>
        </w:tc>
        <w:tc>
          <w:tcPr>
            <w:tcW w:w="2830" w:type="dxa"/>
            <w:tcBorders>
              <w:top w:val="nil"/>
              <w:left w:val="nil"/>
              <w:bottom w:val="nil"/>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00000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nil"/>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713</w:t>
            </w:r>
            <w:r>
              <w:rPr>
                <w:rFonts w:hint="default" w:ascii="Times New Roman" w:hAnsi="Times New Roman" w:cs="Times New Roman"/>
                <w:b w:val="0"/>
                <w:bCs w:val="0"/>
                <w:color w:val="auto"/>
                <w:highlight w:val="none"/>
              </w:rPr>
              <w:t>元/年</w:t>
            </w:r>
          </w:p>
        </w:tc>
      </w:tr>
      <w:tr>
        <w:tblPrEx>
          <w:tblLayout w:type="fixed"/>
          <w:tblCellMar>
            <w:top w:w="0" w:type="dxa"/>
            <w:left w:w="108" w:type="dxa"/>
            <w:bottom w:w="0" w:type="dxa"/>
            <w:right w:w="108" w:type="dxa"/>
          </w:tblCellMar>
        </w:tblPrEx>
        <w:trPr>
          <w:cantSplit/>
          <w:trHeight w:val="468"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restart"/>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兼用型</w:t>
            </w:r>
            <w:r>
              <w:rPr>
                <w:rFonts w:hint="default" w:ascii="Times New Roman" w:hAnsi="Times New Roman" w:cs="Times New Roman"/>
                <w:b w:val="0"/>
                <w:bCs w:val="0"/>
                <w:color w:val="auto"/>
                <w:highlight w:val="none"/>
              </w:rPr>
              <w:br w:type="textWrapping"/>
            </w:r>
            <w:r>
              <w:rPr>
                <w:rFonts w:hint="default" w:ascii="Times New Roman" w:hAnsi="Times New Roman" w:cs="Times New Roman"/>
                <w:b w:val="0"/>
                <w:bCs w:val="0"/>
                <w:color w:val="auto"/>
                <w:highlight w:val="none"/>
              </w:rPr>
              <w:t>拖拉机</w:t>
            </w:r>
          </w:p>
        </w:tc>
        <w:tc>
          <w:tcPr>
            <w:tcW w:w="2204" w:type="dxa"/>
            <w:gridSpan w:val="2"/>
            <w:tcBorders>
              <w:top w:val="nil"/>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14.7千瓦以下</w:t>
            </w:r>
          </w:p>
        </w:tc>
        <w:tc>
          <w:tcPr>
            <w:tcW w:w="2830" w:type="dxa"/>
            <w:tcBorders>
              <w:top w:val="single" w:color="auto" w:sz="4" w:space="0"/>
              <w:left w:val="single" w:color="auto" w:sz="4" w:space="0"/>
              <w:bottom w:val="single" w:color="000000"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30000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single" w:color="auto" w:sz="4" w:space="0"/>
              <w:left w:val="single" w:color="auto" w:sz="4" w:space="0"/>
              <w:bottom w:val="single" w:color="000000"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415</w:t>
            </w:r>
            <w:r>
              <w:rPr>
                <w:rFonts w:hint="default" w:ascii="Times New Roman" w:hAnsi="Times New Roman" w:cs="Times New Roman"/>
                <w:b w:val="0"/>
                <w:bCs w:val="0"/>
                <w:color w:val="auto"/>
                <w:highlight w:val="none"/>
              </w:rPr>
              <w:t>元/年</w:t>
            </w:r>
          </w:p>
        </w:tc>
      </w:tr>
      <w:tr>
        <w:tblPrEx>
          <w:tblLayout w:type="fixed"/>
          <w:tblCellMar>
            <w:top w:w="0" w:type="dxa"/>
            <w:left w:w="108" w:type="dxa"/>
            <w:bottom w:w="0" w:type="dxa"/>
            <w:right w:w="108" w:type="dxa"/>
          </w:tblCellMar>
        </w:tblPrEx>
        <w:trPr>
          <w:cantSplit/>
          <w:trHeight w:val="645"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14.7千瓦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含</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以上58.8千瓦以下</w:t>
            </w:r>
          </w:p>
        </w:tc>
        <w:tc>
          <w:tcPr>
            <w:tcW w:w="2830" w:type="dxa"/>
            <w:tcBorders>
              <w:top w:val="single" w:color="auto" w:sz="4" w:space="0"/>
              <w:left w:val="single" w:color="auto" w:sz="4" w:space="0"/>
              <w:bottom w:val="single" w:color="000000"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lang w:val="en-US" w:eastAsia="zh-CN"/>
              </w:rPr>
              <w:t>150</w:t>
            </w:r>
            <w:r>
              <w:rPr>
                <w:rFonts w:hint="default" w:ascii="Times New Roman" w:hAnsi="Times New Roman" w:cs="Times New Roman"/>
                <w:b w:val="0"/>
                <w:bCs w:val="0"/>
                <w:color w:val="auto"/>
                <w:highlight w:val="none"/>
              </w:rPr>
              <w:t>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single" w:color="auto" w:sz="4" w:space="0"/>
              <w:left w:val="single" w:color="auto" w:sz="4" w:space="0"/>
              <w:bottom w:val="single" w:color="000000" w:sz="4" w:space="0"/>
              <w:right w:val="single" w:color="auto" w:sz="4" w:space="0"/>
            </w:tcBorders>
            <w:vAlign w:val="center"/>
          </w:tcPr>
          <w:p>
            <w:pPr>
              <w:pStyle w:val="17"/>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highlight w:val="none"/>
              </w:rPr>
              <w:t>750元/年</w:t>
            </w:r>
          </w:p>
        </w:tc>
      </w:tr>
      <w:tr>
        <w:tblPrEx>
          <w:tblLayout w:type="fixed"/>
          <w:tblCellMar>
            <w:top w:w="0" w:type="dxa"/>
            <w:left w:w="108" w:type="dxa"/>
            <w:bottom w:w="0" w:type="dxa"/>
            <w:right w:w="108" w:type="dxa"/>
          </w:tblCellMar>
        </w:tblPrEx>
        <w:trPr>
          <w:cantSplit/>
          <w:trHeight w:val="654"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134" w:type="dxa"/>
            <w:vMerge w:val="continue"/>
            <w:tcBorders>
              <w:top w:val="nil"/>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204" w:type="dxa"/>
            <w:gridSpan w:val="2"/>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58.8千瓦</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含</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以上</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250</w:t>
            </w:r>
            <w:r>
              <w:rPr>
                <w:rFonts w:hint="default" w:ascii="Times New Roman" w:hAnsi="Times New Roman" w:cs="Times New Roman"/>
                <w:b w:val="0"/>
                <w:bCs w:val="0"/>
                <w:color w:val="auto"/>
                <w:highlight w:val="none"/>
              </w:rPr>
              <w:t>000</w:t>
            </w:r>
            <w:r>
              <w:rPr>
                <w:rFonts w:hint="default" w:ascii="Times New Roman" w:hAnsi="Times New Roman" w:cs="Times New Roman"/>
                <w:b w:val="0"/>
                <w:bCs w:val="0"/>
                <w:color w:val="auto"/>
                <w:highlight w:val="none"/>
                <w:lang w:eastAsia="zh-CN"/>
              </w:rPr>
              <w:t>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nil"/>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825元/年</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restart"/>
            <w:tcBorders>
              <w:top w:val="nil"/>
              <w:left w:val="nil"/>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其它自走式农用机械</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rPr>
              <w:t>≤10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single" w:color="auto" w:sz="4" w:space="0"/>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120元/月</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130元/月</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30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150元/月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40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170元/月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50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60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230元/月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restart"/>
            <w:tcBorders>
              <w:top w:val="nil"/>
              <w:left w:val="nil"/>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其它自走式农用机械</w:t>
            </w: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70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280元/月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70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80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300元/月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90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330元/月</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90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rPr>
              <w:t>100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355元/月</w:t>
            </w:r>
          </w:p>
        </w:tc>
      </w:tr>
      <w:tr>
        <w:tblPrEx>
          <w:tblLayout w:type="fixed"/>
          <w:tblCellMar>
            <w:top w:w="0" w:type="dxa"/>
            <w:left w:w="108" w:type="dxa"/>
            <w:bottom w:w="0" w:type="dxa"/>
            <w:right w:w="108" w:type="dxa"/>
          </w:tblCellMar>
        </w:tblPrEx>
        <w:trPr>
          <w:cantSplit/>
          <w:trHeight w:val="380" w:hRule="atLeast"/>
          <w:jc w:val="center"/>
        </w:trPr>
        <w:tc>
          <w:tcPr>
            <w:tcW w:w="1286" w:type="dxa"/>
            <w:vMerge w:val="continue"/>
            <w:tcBorders>
              <w:left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vMerge w:val="continue"/>
            <w:tcBorders>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2830"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100</w:t>
            </w:r>
            <w:r>
              <w:rPr>
                <w:rFonts w:hint="default" w:ascii="Times New Roman" w:hAnsi="Times New Roman" w:cs="Times New Roman"/>
                <w:b w:val="0"/>
                <w:bCs w:val="0"/>
                <w:color w:val="auto"/>
                <w:highlight w:val="none"/>
                <w:lang w:eastAsia="zh-CN"/>
              </w:rPr>
              <w:t>以上至</w:t>
            </w:r>
            <w:r>
              <w:rPr>
                <w:rFonts w:hint="default" w:ascii="Times New Roman" w:hAnsi="Times New Roman" w:cs="Times New Roman"/>
                <w:b w:val="0"/>
                <w:bCs w:val="0"/>
                <w:color w:val="auto"/>
                <w:highlight w:val="none"/>
                <w:lang w:val="en-US" w:eastAsia="zh-CN"/>
              </w:rPr>
              <w:t>1</w:t>
            </w:r>
            <w:r>
              <w:rPr>
                <w:rFonts w:hint="default" w:ascii="Times New Roman" w:hAnsi="Times New Roman" w:cs="Times New Roman"/>
                <w:b w:val="0"/>
                <w:bCs w:val="0"/>
                <w:color w:val="auto"/>
                <w:highlight w:val="none"/>
              </w:rPr>
              <w:t>50</w:t>
            </w:r>
            <w:r>
              <w:rPr>
                <w:rFonts w:hint="default" w:ascii="Times New Roman" w:hAnsi="Times New Roman" w:cs="Times New Roman"/>
                <w:b w:val="0"/>
                <w:bCs w:val="0"/>
                <w:color w:val="auto"/>
                <w:highlight w:val="none"/>
                <w:lang w:eastAsia="zh-CN"/>
              </w:rPr>
              <w:t>万元</w:t>
            </w:r>
            <w:r>
              <w:rPr>
                <w:rFonts w:hint="default" w:ascii="Times New Roman" w:hAnsi="Times New Roman" w:cs="Times New Roman"/>
                <w:b w:val="0"/>
                <w:bCs w:val="0"/>
                <w:color w:val="auto"/>
                <w:highlight w:val="none"/>
                <w:lang w:val="en-US" w:eastAsia="zh-CN"/>
              </w:rPr>
              <w:t>/台套</w:t>
            </w:r>
          </w:p>
        </w:tc>
        <w:tc>
          <w:tcPr>
            <w:tcW w:w="2066" w:type="dxa"/>
            <w:tcBorders>
              <w:top w:val="nil"/>
              <w:left w:val="nil"/>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465元/月</w:t>
            </w:r>
          </w:p>
        </w:tc>
      </w:tr>
      <w:tr>
        <w:tblPrEx>
          <w:tblLayout w:type="fixed"/>
          <w:tblCellMar>
            <w:top w:w="0" w:type="dxa"/>
            <w:left w:w="108" w:type="dxa"/>
            <w:bottom w:w="0" w:type="dxa"/>
            <w:right w:w="108" w:type="dxa"/>
          </w:tblCellMar>
        </w:tblPrEx>
        <w:trPr>
          <w:cantSplit/>
          <w:trHeight w:val="654" w:hRule="atLeast"/>
          <w:jc w:val="center"/>
        </w:trPr>
        <w:tc>
          <w:tcPr>
            <w:tcW w:w="1286"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8234" w:type="dxa"/>
            <w:gridSpan w:val="5"/>
            <w:tcBorders>
              <w:left w:val="nil"/>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备注：实际单位补贴保额按保险标的价值乘以年折旧率计算，最高不超过本表上限。</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渔船综合类</w:t>
            </w: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木质渔船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6000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2.65%</w:t>
            </w:r>
          </w:p>
        </w:tc>
      </w:tr>
      <w:tr>
        <w:tblPrEx>
          <w:tblLayout w:type="fixed"/>
          <w:tblCellMar>
            <w:top w:w="0" w:type="dxa"/>
            <w:left w:w="108" w:type="dxa"/>
            <w:bottom w:w="0" w:type="dxa"/>
            <w:right w:w="108" w:type="dxa"/>
          </w:tblCellMar>
        </w:tblPrEx>
        <w:trPr>
          <w:cantSplit/>
          <w:trHeight w:val="37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钢木质渔船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7000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钢质渔船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2.40%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玻璃钢质渔船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12000</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3.10%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3338" w:type="dxa"/>
            <w:gridSpan w:val="3"/>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标准化渔船</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按照合同造价</w:t>
            </w:r>
          </w:p>
        </w:tc>
        <w:tc>
          <w:tcPr>
            <w:tcW w:w="2066"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w:t>
            </w:r>
          </w:p>
        </w:tc>
      </w:tr>
      <w:tr>
        <w:tblPrEx>
          <w:tblLayout w:type="fixed"/>
          <w:tblCellMar>
            <w:top w:w="0" w:type="dxa"/>
            <w:left w:w="108" w:type="dxa"/>
            <w:bottom w:w="0" w:type="dxa"/>
            <w:right w:w="108" w:type="dxa"/>
          </w:tblCellMar>
        </w:tblPrEx>
        <w:trPr>
          <w:cantSplit/>
          <w:trHeight w:val="1047"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8234" w:type="dxa"/>
            <w:gridSpan w:val="5"/>
            <w:tcBorders>
              <w:top w:val="single" w:color="auto" w:sz="4" w:space="0"/>
              <w:left w:val="nil"/>
              <w:bottom w:val="single" w:color="auto" w:sz="4" w:space="0"/>
              <w:right w:val="single" w:color="auto" w:sz="4" w:space="0"/>
            </w:tcBorders>
            <w:vAlign w:val="center"/>
          </w:tcPr>
          <w:p>
            <w:pPr>
              <w:pStyle w:val="17"/>
              <w:ind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4"/>
                <w:szCs w:val="24"/>
                <w:highlight w:val="none"/>
                <w:lang w:eastAsia="zh-CN"/>
              </w:rPr>
              <w:t>备注：渔船费率指导系数：海洋捕捞渔船</w:t>
            </w:r>
            <w:r>
              <w:rPr>
                <w:rFonts w:hint="default" w:ascii="Times New Roman" w:hAnsi="Times New Roman" w:cs="Times New Roman"/>
                <w:b w:val="0"/>
                <w:bCs w:val="0"/>
                <w:color w:val="auto"/>
                <w:sz w:val="24"/>
                <w:szCs w:val="24"/>
                <w:highlight w:val="none"/>
                <w:lang w:val="en-US" w:eastAsia="zh-CN"/>
              </w:rPr>
              <w:t>1.0；海洋辅助船0.9；河汊、湖泊、滩涂渔船1.8；远洋渔船1.0。实际单位补贴保额按保险标的价值乘以费率系数及年折旧率计算，最高不超过本表上限。</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指数类</w:t>
            </w:r>
          </w:p>
        </w:tc>
        <w:tc>
          <w:tcPr>
            <w:tcW w:w="165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eastAsia="zh-CN"/>
              </w:rPr>
              <w:t>绿叶菜成本价格指数</w:t>
            </w: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青菜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2788元/亩次</w:t>
            </w:r>
          </w:p>
        </w:tc>
        <w:tc>
          <w:tcPr>
            <w:tcW w:w="2066" w:type="dxa"/>
            <w:vMerge w:val="restart"/>
            <w:tcBorders>
              <w:top w:val="single" w:color="auto" w:sz="4" w:space="0"/>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10%</w:t>
            </w: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鸡毛菜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1664元/亩次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杭白菜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2375元/亩次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生菜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2605元/亩次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米苋</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1969元/亩次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芹菜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3662元/亩次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菠菜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2155元/亩次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0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蕹菜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2779元/亩次</w:t>
            </w:r>
          </w:p>
        </w:tc>
        <w:tc>
          <w:tcPr>
            <w:tcW w:w="2066" w:type="dxa"/>
            <w:vMerge w:val="continue"/>
            <w:tcBorders>
              <w:left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r>
        <w:tblPrEx>
          <w:tblLayout w:type="fixed"/>
          <w:tblCellMar>
            <w:top w:w="0" w:type="dxa"/>
            <w:left w:w="108" w:type="dxa"/>
            <w:bottom w:w="0" w:type="dxa"/>
            <w:right w:w="108" w:type="dxa"/>
          </w:tblCellMar>
        </w:tblPrEx>
        <w:trPr>
          <w:cantSplit/>
          <w:trHeight w:val="447"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cs="Times New Roman"/>
                <w:b w:val="0"/>
                <w:bCs w:val="0"/>
                <w:color w:val="auto"/>
                <w:highlight w:val="none"/>
              </w:rPr>
            </w:pPr>
          </w:p>
        </w:tc>
        <w:tc>
          <w:tcPr>
            <w:tcW w:w="165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7"/>
              <w:jc w:val="left"/>
              <w:rPr>
                <w:rFonts w:hint="default" w:ascii="Times New Roman" w:hAnsi="Times New Roman" w:cs="Times New Roman"/>
                <w:b w:val="0"/>
                <w:bCs w:val="0"/>
                <w:color w:val="auto"/>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pStyle w:val="17"/>
              <w:jc w:val="center"/>
              <w:rPr>
                <w:rFonts w:hint="default" w:ascii="Times New Roman" w:hAnsi="Times New Roman" w:cs="Times New Roman"/>
                <w:b w:val="0"/>
                <w:bCs w:val="0"/>
                <w:color w:val="auto"/>
                <w:highlight w:val="none"/>
                <w:lang w:eastAsia="zh-CN"/>
              </w:rPr>
            </w:pPr>
            <w:r>
              <w:rPr>
                <w:rFonts w:hint="default" w:ascii="Times New Roman" w:hAnsi="Times New Roman" w:cs="Times New Roman"/>
                <w:b w:val="0"/>
                <w:bCs w:val="0"/>
                <w:color w:val="auto"/>
                <w:highlight w:val="none"/>
                <w:lang w:eastAsia="zh-CN"/>
              </w:rPr>
              <w:t>卷心菜</w:t>
            </w:r>
          </w:p>
        </w:tc>
        <w:tc>
          <w:tcPr>
            <w:tcW w:w="2830" w:type="dxa"/>
            <w:tcBorders>
              <w:top w:val="single" w:color="auto" w:sz="4" w:space="0"/>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3220元/亩次</w:t>
            </w:r>
          </w:p>
        </w:tc>
        <w:tc>
          <w:tcPr>
            <w:tcW w:w="2066" w:type="dxa"/>
            <w:vMerge w:val="continue"/>
            <w:tcBorders>
              <w:left w:val="single" w:color="auto" w:sz="4" w:space="0"/>
              <w:bottom w:val="single" w:color="auto" w:sz="4" w:space="0"/>
              <w:right w:val="single" w:color="auto" w:sz="4" w:space="0"/>
            </w:tcBorders>
            <w:vAlign w:val="center"/>
          </w:tcPr>
          <w:p>
            <w:pPr>
              <w:pStyle w:val="17"/>
              <w:rPr>
                <w:rFonts w:hint="default" w:ascii="Times New Roman" w:hAnsi="Times New Roman" w:eastAsia="宋体" w:cs="Times New Roman"/>
                <w:b w:val="0"/>
                <w:bCs w:val="0"/>
                <w:color w:val="auto"/>
                <w:highlight w:val="none"/>
                <w:lang w:val="en-US" w:eastAsia="zh-CN"/>
              </w:rPr>
            </w:pPr>
          </w:p>
        </w:tc>
      </w:tr>
    </w:tbl>
    <w:p>
      <w:pPr>
        <w:pStyle w:val="2"/>
        <w:ind w:left="0" w:leftChars="0" w:firstLine="0" w:firstLineChars="0"/>
        <w:rPr>
          <w:rFonts w:hint="eastAsia" w:ascii="黑体" w:hAnsi="黑体" w:eastAsia="黑体" w:cs="黑体"/>
          <w:b w:val="0"/>
          <w:bCs w:val="0"/>
          <w:color w:val="auto"/>
          <w:spacing w:val="0"/>
          <w:kern w:val="0"/>
          <w:sz w:val="32"/>
          <w:szCs w:val="32"/>
          <w:highlight w:val="none"/>
          <w:lang w:val="en-US" w:eastAsia="zh-CN" w:bidi="ar-SA"/>
        </w:rPr>
      </w:pPr>
      <w:r>
        <w:rPr>
          <w:rFonts w:hint="eastAsia" w:ascii="黑体" w:hAnsi="黑体" w:eastAsia="黑体" w:cs="黑体"/>
          <w:b w:val="0"/>
          <w:bCs w:val="0"/>
          <w:kern w:val="2"/>
          <w:sz w:val="32"/>
          <w:szCs w:val="32"/>
        </w:rPr>
        <w:t>附件</w:t>
      </w:r>
      <w:r>
        <w:rPr>
          <w:rFonts w:hint="eastAsia" w:ascii="黑体" w:hAnsi="黑体" w:eastAsia="黑体" w:cs="黑体"/>
          <w:b w:val="0"/>
          <w:bCs w:val="0"/>
          <w:color w:val="auto"/>
          <w:spacing w:val="0"/>
          <w:kern w:val="0"/>
          <w:sz w:val="32"/>
          <w:szCs w:val="32"/>
          <w:highlight w:val="none"/>
          <w:lang w:val="en-US" w:eastAsia="zh-CN" w:bidi="ar-SA"/>
        </w:rPr>
        <w:t>2</w:t>
      </w:r>
    </w:p>
    <w:p>
      <w:pPr>
        <w:bidi w:val="0"/>
        <w:spacing w:beforeLines="0" w:afterLines="0" w:line="560" w:lineRule="exact"/>
        <w:rPr>
          <w:rFonts w:hint="eastAsia" w:ascii="黑体" w:hAnsi="黑体" w:eastAsia="黑体" w:cs="黑体"/>
          <w:b w:val="0"/>
          <w:bCs w:val="0"/>
          <w:color w:val="auto"/>
          <w:spacing w:val="0"/>
          <w:kern w:val="0"/>
          <w:sz w:val="32"/>
          <w:szCs w:val="32"/>
          <w:highlight w:val="none"/>
          <w:lang w:val="en-US" w:eastAsia="zh-CN" w:bidi="ar-SA"/>
        </w:rPr>
      </w:pPr>
    </w:p>
    <w:p>
      <w:pPr>
        <w:pStyle w:val="9"/>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区级财政补贴</w:t>
      </w:r>
      <w:r>
        <w:rPr>
          <w:rFonts w:hint="eastAsia" w:ascii="方正小标宋简体" w:hAnsi="方正小标宋简体" w:eastAsia="方正小标宋简体" w:cs="方正小标宋简体"/>
          <w:b w:val="0"/>
          <w:bCs w:val="0"/>
          <w:sz w:val="36"/>
          <w:szCs w:val="36"/>
        </w:rPr>
        <w:t>险种单位</w:t>
      </w:r>
      <w:r>
        <w:rPr>
          <w:rFonts w:hint="eastAsia" w:ascii="方正小标宋简体" w:hAnsi="方正小标宋简体" w:eastAsia="方正小标宋简体" w:cs="方正小标宋简体"/>
          <w:b w:val="0"/>
          <w:bCs w:val="0"/>
          <w:sz w:val="36"/>
          <w:szCs w:val="36"/>
          <w:lang w:eastAsia="zh-CN"/>
        </w:rPr>
        <w:t>补贴</w:t>
      </w:r>
      <w:r>
        <w:rPr>
          <w:rFonts w:hint="eastAsia" w:ascii="方正小标宋简体" w:hAnsi="方正小标宋简体" w:eastAsia="方正小标宋简体" w:cs="方正小标宋简体"/>
          <w:b w:val="0"/>
          <w:bCs w:val="0"/>
          <w:sz w:val="36"/>
          <w:szCs w:val="36"/>
        </w:rPr>
        <w:t>保额</w:t>
      </w:r>
    </w:p>
    <w:p>
      <w:pPr>
        <w:pStyle w:val="9"/>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及费率</w:t>
      </w:r>
      <w:r>
        <w:rPr>
          <w:rFonts w:hint="eastAsia" w:ascii="方正小标宋简体" w:hAnsi="方正小标宋简体" w:eastAsia="方正小标宋简体" w:cs="方正小标宋简体"/>
          <w:b w:val="0"/>
          <w:bCs w:val="0"/>
          <w:sz w:val="36"/>
          <w:szCs w:val="36"/>
          <w:lang w:val="en-US" w:eastAsia="zh-CN"/>
        </w:rPr>
        <w:t>指导</w:t>
      </w:r>
      <w:r>
        <w:rPr>
          <w:rFonts w:hint="eastAsia" w:ascii="方正小标宋简体" w:hAnsi="方正小标宋简体" w:eastAsia="方正小标宋简体" w:cs="方正小标宋简体"/>
          <w:b w:val="0"/>
          <w:bCs w:val="0"/>
          <w:sz w:val="36"/>
          <w:szCs w:val="36"/>
        </w:rPr>
        <w:t>标准</w:t>
      </w:r>
    </w:p>
    <w:p>
      <w:pPr>
        <w:pStyle w:val="9"/>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auto"/>
        <w:rPr>
          <w:rFonts w:hint="eastAsia" w:ascii="方正小标宋简体" w:hAnsi="方正小标宋简体" w:eastAsia="方正小标宋简体" w:cs="方正小标宋简体"/>
          <w:b w:val="0"/>
          <w:bCs w:val="0"/>
          <w:sz w:val="36"/>
          <w:szCs w:val="36"/>
        </w:rPr>
      </w:pPr>
    </w:p>
    <w:p>
      <w:pPr>
        <w:pStyle w:val="2"/>
        <w:ind w:left="0" w:leftChars="0" w:firstLine="0" w:firstLineChars="0"/>
        <w:jc w:val="right"/>
        <w:rPr>
          <w:rFonts w:hint="default" w:ascii="宋体" w:hAnsi="宋体" w:eastAsia="宋体" w:cs="宋体"/>
          <w:b w:val="0"/>
          <w:bCs w:val="0"/>
          <w:color w:val="auto"/>
          <w:kern w:val="0"/>
          <w:sz w:val="28"/>
          <w:szCs w:val="28"/>
          <w:highlight w:val="none"/>
          <w:lang w:val="en-US" w:eastAsia="zh-CN"/>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auto"/>
          <w:kern w:val="0"/>
          <w:sz w:val="24"/>
          <w:szCs w:val="24"/>
          <w:highlight w:val="none"/>
          <w:lang w:val="en-US" w:eastAsia="zh-CN"/>
        </w:rPr>
        <w:t>单位：元/亩（头</w:t>
      </w:r>
      <w:r>
        <w:rPr>
          <w:rFonts w:hint="eastAsia" w:ascii="宋体" w:hAnsi="宋体" w:cs="宋体"/>
          <w:color w:val="auto"/>
          <w:kern w:val="0"/>
          <w:sz w:val="24"/>
          <w:szCs w:val="24"/>
          <w:highlight w:val="none"/>
          <w:lang w:val="en-US" w:eastAsia="zh-CN"/>
        </w:rPr>
        <w:t>、人、台、个</w:t>
      </w:r>
      <w:r>
        <w:rPr>
          <w:rFonts w:hint="eastAsia" w:ascii="宋体" w:hAnsi="宋体" w:eastAsia="宋体" w:cs="宋体"/>
          <w:color w:val="auto"/>
          <w:kern w:val="0"/>
          <w:sz w:val="24"/>
          <w:szCs w:val="24"/>
          <w:highlight w:val="none"/>
          <w:lang w:val="en-US" w:eastAsia="zh-CN"/>
        </w:rPr>
        <w:t>)、户</w:t>
      </w:r>
    </w:p>
    <w:tbl>
      <w:tblPr>
        <w:tblStyle w:val="13"/>
        <w:tblW w:w="892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62"/>
        <w:gridCol w:w="1640"/>
        <w:gridCol w:w="2346"/>
        <w:gridCol w:w="1196"/>
        <w:gridCol w:w="4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92" w:type="dxa"/>
            <w:vAlign w:val="center"/>
          </w:tcPr>
          <w:p>
            <w:pPr>
              <w:snapToGrid w:val="0"/>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险别</w:t>
            </w:r>
          </w:p>
        </w:tc>
        <w:tc>
          <w:tcPr>
            <w:tcW w:w="3102" w:type="dxa"/>
            <w:gridSpan w:val="2"/>
            <w:vAlign w:val="center"/>
          </w:tcPr>
          <w:p>
            <w:pPr>
              <w:snapToGrid w:val="0"/>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险种</w:t>
            </w:r>
          </w:p>
        </w:tc>
        <w:tc>
          <w:tcPr>
            <w:tcW w:w="2346" w:type="dxa"/>
            <w:vAlign w:val="center"/>
          </w:tcPr>
          <w:p>
            <w:pP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单位保额</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上限</w:t>
            </w:r>
            <w:r>
              <w:rPr>
                <w:rFonts w:hint="eastAsia" w:ascii="宋体" w:hAnsi="宋体" w:eastAsia="宋体" w:cs="宋体"/>
                <w:b/>
                <w:bCs/>
                <w:color w:val="auto"/>
                <w:kern w:val="0"/>
                <w:sz w:val="22"/>
                <w:szCs w:val="22"/>
                <w:highlight w:val="none"/>
                <w:lang w:eastAsia="zh-CN"/>
              </w:rPr>
              <w:t>）</w:t>
            </w:r>
          </w:p>
        </w:tc>
        <w:tc>
          <w:tcPr>
            <w:tcW w:w="1196" w:type="dxa"/>
            <w:vAlign w:val="center"/>
          </w:tcPr>
          <w:p>
            <w:pP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费率</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上限</w:t>
            </w:r>
            <w:r>
              <w:rPr>
                <w:rFonts w:hint="eastAsia" w:ascii="宋体" w:hAnsi="宋体" w:eastAsia="宋体" w:cs="宋体"/>
                <w:b/>
                <w:bCs/>
                <w:color w:val="auto"/>
                <w:kern w:val="0"/>
                <w:sz w:val="22"/>
                <w:szCs w:val="22"/>
                <w:highlight w:val="none"/>
                <w:lang w:eastAsia="zh-CN"/>
              </w:rPr>
              <w:t>）</w:t>
            </w:r>
          </w:p>
        </w:tc>
        <w:tc>
          <w:tcPr>
            <w:tcW w:w="1284" w:type="dxa"/>
            <w:gridSpan w:val="2"/>
            <w:vAlign w:val="center"/>
          </w:tcPr>
          <w:p>
            <w:pPr>
              <w:snapToGrid w:val="0"/>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单位保费</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上限</w:t>
            </w:r>
            <w:r>
              <w:rPr>
                <w:rFonts w:hint="eastAsia" w:ascii="宋体" w:hAnsi="宋体" w:eastAsia="宋体" w:cs="宋体"/>
                <w:b/>
                <w:bCs/>
                <w:color w:val="auto"/>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种植险类</w:t>
            </w:r>
          </w:p>
        </w:tc>
        <w:tc>
          <w:tcPr>
            <w:tcW w:w="3102" w:type="dxa"/>
            <w:gridSpan w:val="2"/>
            <w:vMerge w:val="restart"/>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葡萄降雨量指数保险</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10000</w:t>
            </w:r>
          </w:p>
        </w:tc>
        <w:tc>
          <w:tcPr>
            <w:tcW w:w="1196" w:type="dxa"/>
            <w:vAlign w:val="center"/>
          </w:tcPr>
          <w:p>
            <w:pPr>
              <w:snapToGrid w:val="0"/>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kern w:val="0"/>
                <w:sz w:val="22"/>
                <w:szCs w:val="22"/>
                <w:highlight w:val="none"/>
                <w:lang w:val="en-US" w:eastAsia="zh-CN"/>
              </w:rPr>
              <w:t>13</w:t>
            </w:r>
            <w:r>
              <w:rPr>
                <w:rFonts w:hint="eastAsia" w:ascii="宋体" w:hAnsi="宋体" w:eastAsia="宋体" w:cs="宋体"/>
                <w:color w:val="auto"/>
                <w:kern w:val="0"/>
                <w:sz w:val="22"/>
                <w:szCs w:val="22"/>
                <w:highlight w:val="none"/>
              </w:rPr>
              <w:t>%</w:t>
            </w:r>
          </w:p>
        </w:tc>
        <w:tc>
          <w:tcPr>
            <w:tcW w:w="1284" w:type="dxa"/>
            <w:gridSpan w:val="2"/>
            <w:vAlign w:val="center"/>
          </w:tcPr>
          <w:p>
            <w:pPr>
              <w:snapToGrid w:val="0"/>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kern w:val="0"/>
                <w:sz w:val="22"/>
                <w:szCs w:val="22"/>
                <w:highlight w:val="none"/>
                <w:lang w:val="en-US" w:eastAsia="zh-CN"/>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4826" w:type="dxa"/>
            <w:gridSpan w:val="4"/>
            <w:vAlign w:val="center"/>
          </w:tcPr>
          <w:p>
            <w:pPr>
              <w:snapToGrid w:val="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备注：保险期间为6月1日至9月30日，约定累计降雨量400</w:t>
            </w:r>
            <w:r>
              <w:rPr>
                <w:rFonts w:hint="eastAsia" w:ascii="宋体" w:hAnsi="宋体" w:cs="宋体"/>
                <w:color w:val="auto"/>
                <w:kern w:val="0"/>
                <w:sz w:val="22"/>
                <w:szCs w:val="22"/>
                <w:highlight w:val="none"/>
                <w:lang w:val="en-US" w:eastAsia="zh-CN"/>
              </w:rPr>
              <w:t>-600</w:t>
            </w:r>
            <w:r>
              <w:rPr>
                <w:rFonts w:hint="eastAsia" w:ascii="宋体" w:hAnsi="宋体" w:eastAsia="宋体" w:cs="宋体"/>
                <w:color w:val="auto"/>
                <w:kern w:val="0"/>
                <w:sz w:val="22"/>
                <w:szCs w:val="22"/>
                <w:highlight w:val="none"/>
                <w:lang w:val="en-US" w:eastAsia="zh-CN"/>
              </w:rPr>
              <w:t>毫米</w:t>
            </w:r>
            <w:r>
              <w:rPr>
                <w:rFonts w:hint="eastAsia" w:ascii="宋体" w:hAnsi="宋体" w:cs="宋体"/>
                <w:color w:val="auto"/>
                <w:kern w:val="0"/>
                <w:sz w:val="22"/>
                <w:szCs w:val="22"/>
                <w:highlight w:val="none"/>
                <w:lang w:val="en-US" w:eastAsia="zh-CN"/>
              </w:rPr>
              <w:t>，具体需与投保人约定并在保单中载明</w:t>
            </w:r>
            <w:r>
              <w:rPr>
                <w:rFonts w:hint="eastAsia" w:ascii="宋体" w:hAnsi="宋体" w:eastAsia="宋体" w:cs="宋体"/>
                <w:color w:val="auto"/>
                <w:kern w:val="0"/>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草莓气象指数保险</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10000</w:t>
            </w:r>
          </w:p>
        </w:tc>
        <w:tc>
          <w:tcPr>
            <w:tcW w:w="1196" w:type="dxa"/>
            <w:vAlign w:val="center"/>
          </w:tcPr>
          <w:p>
            <w:pPr>
              <w:snapToGrid w:val="0"/>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w:t>
            </w:r>
          </w:p>
        </w:tc>
        <w:tc>
          <w:tcPr>
            <w:tcW w:w="1284" w:type="dxa"/>
            <w:gridSpan w:val="2"/>
            <w:vAlign w:val="center"/>
          </w:tcPr>
          <w:p>
            <w:pPr>
              <w:snapToGrid w:val="0"/>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kern w:val="0"/>
                <w:sz w:val="22"/>
                <w:szCs w:val="22"/>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Merge w:val="restart"/>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水稻</w:t>
            </w:r>
            <w:r>
              <w:rPr>
                <w:rFonts w:hint="eastAsia" w:ascii="宋体" w:hAnsi="宋体" w:cs="宋体"/>
                <w:color w:val="auto"/>
                <w:kern w:val="0"/>
                <w:sz w:val="22"/>
                <w:szCs w:val="22"/>
                <w:highlight w:val="none"/>
                <w:lang w:val="en-US" w:eastAsia="zh-CN"/>
              </w:rPr>
              <w:t>收入</w:t>
            </w:r>
            <w:r>
              <w:rPr>
                <w:rFonts w:hint="eastAsia" w:ascii="宋体" w:hAnsi="宋体" w:eastAsia="宋体" w:cs="宋体"/>
                <w:color w:val="auto"/>
                <w:kern w:val="0"/>
                <w:sz w:val="22"/>
                <w:szCs w:val="22"/>
                <w:highlight w:val="none"/>
                <w:lang w:val="en-US" w:eastAsia="zh-CN"/>
              </w:rPr>
              <w:t>保险</w:t>
            </w:r>
          </w:p>
        </w:tc>
        <w:tc>
          <w:tcPr>
            <w:tcW w:w="2346"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1800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17</w:t>
            </w:r>
            <w:r>
              <w:rPr>
                <w:rFonts w:hint="eastAsia" w:ascii="宋体" w:hAnsi="宋体" w:eastAsia="宋体" w:cs="宋体"/>
                <w:color w:val="auto"/>
                <w:kern w:val="0"/>
                <w:sz w:val="22"/>
                <w:szCs w:val="22"/>
                <w:highlight w:val="none"/>
                <w:lang w:val="en-US" w:eastAsia="zh-CN"/>
              </w:rPr>
              <w:t>%</w:t>
            </w:r>
          </w:p>
        </w:tc>
        <w:tc>
          <w:tcPr>
            <w:tcW w:w="1284" w:type="dxa"/>
            <w:gridSpan w:val="2"/>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4826" w:type="dxa"/>
            <w:gridSpan w:val="4"/>
            <w:vAlign w:val="center"/>
          </w:tcPr>
          <w:p>
            <w:pPr>
              <w:snapToGrid w:val="0"/>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备注：保险金额根据历年水稻亩产及收购价格等因素综合确定。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Align w:val="center"/>
          </w:tcPr>
          <w:p>
            <w:pPr>
              <w:snapToGrid w:val="0"/>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嘉定白蒜收入保险</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10000</w:t>
            </w:r>
          </w:p>
        </w:tc>
        <w:tc>
          <w:tcPr>
            <w:tcW w:w="1196" w:type="dxa"/>
            <w:vAlign w:val="center"/>
          </w:tcPr>
          <w:p>
            <w:pPr>
              <w:snapToGrid w:val="0"/>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w:t>
            </w:r>
          </w:p>
        </w:tc>
        <w:tc>
          <w:tcPr>
            <w:tcW w:w="1284" w:type="dxa"/>
            <w:gridSpan w:val="2"/>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养殖险类</w:t>
            </w:r>
          </w:p>
        </w:tc>
        <w:tc>
          <w:tcPr>
            <w:tcW w:w="146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生猪重大疫情保险</w:t>
            </w: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rPr>
              <w:t>育肥猪（含仔猪）</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2.8</w:t>
            </w:r>
            <w:r>
              <w:rPr>
                <w:rFonts w:hint="eastAsia" w:ascii="宋体" w:hAnsi="宋体" w:eastAsia="宋体" w:cs="宋体"/>
                <w:color w:val="auto"/>
                <w:kern w:val="0"/>
                <w:sz w:val="22"/>
                <w:szCs w:val="22"/>
                <w:highlight w:val="none"/>
              </w:rPr>
              <w:t>%</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能繁母猪（种公猪）</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4000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5.6%</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生猪</w:t>
            </w:r>
            <w:r>
              <w:rPr>
                <w:rFonts w:hint="eastAsia" w:ascii="宋体" w:hAnsi="宋体" w:cs="宋体"/>
                <w:color w:val="auto"/>
                <w:kern w:val="0"/>
                <w:sz w:val="22"/>
                <w:szCs w:val="22"/>
                <w:highlight w:val="none"/>
                <w:lang w:val="en-US" w:eastAsia="zh-CN"/>
              </w:rPr>
              <w:t>收入</w:t>
            </w:r>
            <w:r>
              <w:rPr>
                <w:rFonts w:hint="eastAsia" w:ascii="宋体" w:hAnsi="宋体" w:eastAsia="宋体" w:cs="宋体"/>
                <w:color w:val="auto"/>
                <w:kern w:val="0"/>
                <w:sz w:val="22"/>
                <w:szCs w:val="22"/>
                <w:highlight w:val="none"/>
                <w:lang w:val="en-US" w:eastAsia="zh-CN"/>
              </w:rPr>
              <w:t>保险</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1920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3102" w:type="dxa"/>
            <w:gridSpan w:val="2"/>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4826" w:type="dxa"/>
            <w:gridSpan w:val="4"/>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备注：保险金额根据历年生猪价格及约定生猪重量等因素综合确定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Merge w:val="restart"/>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种羊养殖保险</w:t>
            </w: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后备种羊</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种羊</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稻田生态养殖保险</w:t>
            </w: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小龙虾</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4000</w:t>
            </w:r>
          </w:p>
        </w:tc>
        <w:tc>
          <w:tcPr>
            <w:tcW w:w="119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w:t>
            </w:r>
          </w:p>
        </w:tc>
        <w:tc>
          <w:tcPr>
            <w:tcW w:w="1284" w:type="dxa"/>
            <w:gridSpan w:val="2"/>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涉农类</w:t>
            </w:r>
          </w:p>
        </w:tc>
        <w:tc>
          <w:tcPr>
            <w:tcW w:w="146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农产品食用安全责任保险</w:t>
            </w: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地产种植业农产品</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根据市场价格确定产值（元/亩）</w:t>
            </w:r>
          </w:p>
        </w:tc>
        <w:tc>
          <w:tcPr>
            <w:tcW w:w="1196" w:type="dxa"/>
            <w:vMerge w:val="restart"/>
            <w:vAlign w:val="center"/>
          </w:tcPr>
          <w:p>
            <w:pPr>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w:t>
            </w:r>
          </w:p>
        </w:tc>
        <w:tc>
          <w:tcPr>
            <w:tcW w:w="1284" w:type="dxa"/>
            <w:gridSpan w:val="2"/>
            <w:vMerge w:val="restart"/>
            <w:vAlign w:val="center"/>
          </w:tcPr>
          <w:p>
            <w:pPr>
              <w:numPr>
                <w:ilvl w:val="0"/>
                <w:numId w:val="0"/>
              </w:numPr>
              <w:jc w:val="center"/>
              <w:rPr>
                <w:rFonts w:hint="default"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保额</w:t>
            </w:r>
            <w:r>
              <w:rPr>
                <w:rFonts w:hint="eastAsia" w:ascii="宋体" w:hAnsi="宋体" w:eastAsia="宋体" w:cs="宋体"/>
                <w:color w:val="auto"/>
                <w:kern w:val="0"/>
                <w:sz w:val="22"/>
                <w:szCs w:val="22"/>
                <w:highlight w:val="none"/>
              </w:rPr>
              <w:t>×</w:t>
            </w:r>
            <w:r>
              <w:rPr>
                <w:rFonts w:hint="eastAsia" w:ascii="宋体" w:hAnsi="宋体" w:eastAsia="宋体" w:cs="宋体"/>
                <w:b w:val="0"/>
                <w:bCs w:val="0"/>
                <w:color w:val="auto"/>
                <w:sz w:val="22"/>
                <w:szCs w:val="22"/>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地产养殖业农产品</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根据市场价格确定产值（元/吨、头、羽）</w:t>
            </w:r>
          </w:p>
        </w:tc>
        <w:tc>
          <w:tcPr>
            <w:tcW w:w="1196" w:type="dxa"/>
            <w:vMerge w:val="continue"/>
            <w:vAlign w:val="center"/>
          </w:tcPr>
          <w:p>
            <w:pPr>
              <w:jc w:val="center"/>
              <w:rPr>
                <w:rFonts w:hint="eastAsia" w:ascii="宋体" w:hAnsi="宋体" w:eastAsia="宋体" w:cs="宋体"/>
                <w:b w:val="0"/>
                <w:bCs w:val="0"/>
                <w:color w:val="auto"/>
                <w:sz w:val="22"/>
                <w:szCs w:val="22"/>
                <w:highlight w:val="none"/>
                <w:vertAlign w:val="baseline"/>
                <w:lang w:val="en-US" w:eastAsia="zh-CN"/>
              </w:rPr>
            </w:pPr>
          </w:p>
        </w:tc>
        <w:tc>
          <w:tcPr>
            <w:tcW w:w="1284" w:type="dxa"/>
            <w:gridSpan w:val="2"/>
            <w:vMerge w:val="continue"/>
            <w:vAlign w:val="center"/>
          </w:tcPr>
          <w:p>
            <w:pPr>
              <w:numPr>
                <w:ilvl w:val="0"/>
                <w:numId w:val="0"/>
              </w:numPr>
              <w:jc w:val="center"/>
              <w:rPr>
                <w:rFonts w:hint="eastAsia" w:ascii="宋体" w:hAnsi="宋体" w:eastAsia="宋体" w:cs="宋体"/>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99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本区农业（涉农）企业生产、加工、屠宰、配送的农产品</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根据市场价格确定单位价值（元/吨、头、羽）</w:t>
            </w:r>
          </w:p>
        </w:tc>
        <w:tc>
          <w:tcPr>
            <w:tcW w:w="1196" w:type="dxa"/>
            <w:vMerge w:val="continue"/>
            <w:vAlign w:val="center"/>
          </w:tcPr>
          <w:p>
            <w:pPr>
              <w:jc w:val="center"/>
              <w:rPr>
                <w:rFonts w:hint="eastAsia" w:ascii="宋体" w:hAnsi="宋体" w:eastAsia="宋体" w:cs="宋体"/>
                <w:b w:val="0"/>
                <w:bCs w:val="0"/>
                <w:color w:val="auto"/>
                <w:sz w:val="22"/>
                <w:szCs w:val="22"/>
                <w:highlight w:val="none"/>
                <w:vertAlign w:val="baseline"/>
                <w:lang w:val="en-US" w:eastAsia="zh-CN"/>
              </w:rPr>
            </w:pPr>
          </w:p>
        </w:tc>
        <w:tc>
          <w:tcPr>
            <w:tcW w:w="1284" w:type="dxa"/>
            <w:gridSpan w:val="2"/>
            <w:vMerge w:val="continue"/>
            <w:vAlign w:val="center"/>
          </w:tcPr>
          <w:p>
            <w:pPr>
              <w:numPr>
                <w:ilvl w:val="0"/>
                <w:numId w:val="0"/>
              </w:numPr>
              <w:jc w:val="center"/>
              <w:rPr>
                <w:rFonts w:hint="eastAsia" w:ascii="宋体" w:hAnsi="宋体" w:eastAsia="宋体" w:cs="宋体"/>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务农人员意外伤害保险</w:t>
            </w: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粮食种植</w:t>
            </w:r>
          </w:p>
        </w:tc>
        <w:tc>
          <w:tcPr>
            <w:tcW w:w="2346"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1059000</w:t>
            </w:r>
          </w:p>
        </w:tc>
        <w:tc>
          <w:tcPr>
            <w:tcW w:w="2480" w:type="dxa"/>
            <w:gridSpan w:val="3"/>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56</w:t>
            </w:r>
            <w:r>
              <w:rPr>
                <w:rFonts w:hint="eastAsia" w:ascii="宋体" w:hAnsi="宋体" w:eastAsia="宋体" w:cs="宋体"/>
                <w:color w:val="auto"/>
                <w:kern w:val="0"/>
                <w:sz w:val="22"/>
                <w:szCs w:val="22"/>
                <w:highlight w:val="none"/>
                <w:lang w:val="en-US" w:eastAsia="zh-CN"/>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蔬菜种植</w:t>
            </w:r>
          </w:p>
        </w:tc>
        <w:tc>
          <w:tcPr>
            <w:tcW w:w="2346"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2480" w:type="dxa"/>
            <w:gridSpan w:val="3"/>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230</w:t>
            </w:r>
            <w:r>
              <w:rPr>
                <w:rFonts w:hint="eastAsia" w:ascii="宋体" w:hAnsi="宋体" w:eastAsia="宋体" w:cs="宋体"/>
                <w:color w:val="auto"/>
                <w:kern w:val="0"/>
                <w:sz w:val="22"/>
                <w:szCs w:val="22"/>
                <w:highlight w:val="none"/>
                <w:lang w:val="en-US" w:eastAsia="zh-CN"/>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水果种植</w:t>
            </w:r>
          </w:p>
        </w:tc>
        <w:tc>
          <w:tcPr>
            <w:tcW w:w="2346"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2480" w:type="dxa"/>
            <w:gridSpan w:val="3"/>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146</w:t>
            </w:r>
            <w:r>
              <w:rPr>
                <w:rFonts w:hint="eastAsia" w:ascii="宋体" w:hAnsi="宋体" w:eastAsia="宋体" w:cs="宋体"/>
                <w:color w:val="auto"/>
                <w:kern w:val="0"/>
                <w:sz w:val="22"/>
                <w:szCs w:val="22"/>
                <w:highlight w:val="none"/>
                <w:lang w:val="en-US" w:eastAsia="zh-CN"/>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养殖类</w:t>
            </w:r>
          </w:p>
        </w:tc>
        <w:tc>
          <w:tcPr>
            <w:tcW w:w="2346"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2480" w:type="dxa"/>
            <w:gridSpan w:val="3"/>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700</w:t>
            </w:r>
            <w:r>
              <w:rPr>
                <w:rFonts w:hint="eastAsia" w:ascii="宋体" w:hAnsi="宋体" w:eastAsia="宋体" w:cs="宋体"/>
                <w:color w:val="auto"/>
                <w:kern w:val="0"/>
                <w:sz w:val="22"/>
                <w:szCs w:val="22"/>
                <w:highlight w:val="none"/>
                <w:lang w:val="en-US" w:eastAsia="zh-CN"/>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6466" w:type="dxa"/>
            <w:gridSpan w:val="5"/>
            <w:vAlign w:val="center"/>
          </w:tcPr>
          <w:p>
            <w:pPr>
              <w:snapToGrid w:val="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备注：1、保险责任包括：意外身故/残疾</w:t>
            </w:r>
            <w:r>
              <w:rPr>
                <w:rFonts w:hint="eastAsia" w:ascii="宋体" w:hAnsi="宋体" w:cs="宋体"/>
                <w:color w:val="auto"/>
                <w:kern w:val="0"/>
                <w:sz w:val="22"/>
                <w:szCs w:val="22"/>
                <w:highlight w:val="none"/>
                <w:lang w:val="en-US" w:eastAsia="zh-CN"/>
              </w:rPr>
              <w:t>50</w:t>
            </w:r>
            <w:r>
              <w:rPr>
                <w:rFonts w:hint="eastAsia" w:ascii="宋体" w:hAnsi="宋体" w:eastAsia="宋体" w:cs="宋体"/>
                <w:color w:val="auto"/>
                <w:kern w:val="0"/>
                <w:sz w:val="22"/>
                <w:szCs w:val="22"/>
                <w:highlight w:val="none"/>
                <w:lang w:val="en-US" w:eastAsia="zh-CN"/>
              </w:rPr>
              <w:t>万元；突发急性病/高温中暑</w:t>
            </w:r>
            <w:r>
              <w:rPr>
                <w:rFonts w:hint="eastAsia" w:ascii="宋体" w:hAnsi="宋体" w:cs="宋体"/>
                <w:color w:val="auto"/>
                <w:kern w:val="0"/>
                <w:sz w:val="22"/>
                <w:szCs w:val="22"/>
                <w:highlight w:val="none"/>
                <w:lang w:val="en-US" w:eastAsia="zh-CN"/>
              </w:rPr>
              <w:t>50</w:t>
            </w:r>
            <w:r>
              <w:rPr>
                <w:rFonts w:hint="eastAsia" w:ascii="宋体" w:hAnsi="宋体" w:eastAsia="宋体" w:cs="宋体"/>
                <w:color w:val="auto"/>
                <w:kern w:val="0"/>
                <w:sz w:val="22"/>
                <w:szCs w:val="22"/>
                <w:highlight w:val="none"/>
                <w:lang w:val="en-US" w:eastAsia="zh-CN"/>
              </w:rPr>
              <w:t>万元；意外医疗</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万元；住院补贴9000元（50元/人/天，以180天为限）。</w:t>
            </w:r>
          </w:p>
          <w:p>
            <w:pPr>
              <w:snapToGrid w:val="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2、按照粮食种植每8亩配1人、水果种植每5亩配1人、蔬菜种植每5亩配1人折算总保额。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农机人员</w:t>
            </w:r>
          </w:p>
        </w:tc>
        <w:tc>
          <w:tcPr>
            <w:tcW w:w="2346"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550000</w:t>
            </w:r>
          </w:p>
        </w:tc>
        <w:tc>
          <w:tcPr>
            <w:tcW w:w="2480" w:type="dxa"/>
            <w:gridSpan w:val="3"/>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1000</w:t>
            </w:r>
            <w:r>
              <w:rPr>
                <w:rFonts w:hint="eastAsia" w:ascii="宋体" w:hAnsi="宋体" w:eastAsia="宋体" w:cs="宋体"/>
                <w:color w:val="auto"/>
                <w:kern w:val="0"/>
                <w:sz w:val="22"/>
                <w:szCs w:val="22"/>
                <w:highlight w:val="none"/>
                <w:lang w:val="en-US" w:eastAsia="zh-CN"/>
              </w:rPr>
              <w:t>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6466" w:type="dxa"/>
            <w:gridSpan w:val="5"/>
            <w:vAlign w:val="center"/>
          </w:tcPr>
          <w:p>
            <w:pPr>
              <w:snapToGrid w:val="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备注：保险责任包括：意外身故/残疾</w:t>
            </w:r>
            <w:r>
              <w:rPr>
                <w:rFonts w:hint="eastAsia" w:ascii="宋体" w:hAnsi="宋体" w:cs="宋体"/>
                <w:color w:val="auto"/>
                <w:kern w:val="0"/>
                <w:sz w:val="22"/>
                <w:szCs w:val="22"/>
                <w:highlight w:val="none"/>
                <w:lang w:val="en-US" w:eastAsia="zh-CN"/>
              </w:rPr>
              <w:t>50</w:t>
            </w:r>
            <w:r>
              <w:rPr>
                <w:rFonts w:hint="eastAsia" w:ascii="宋体" w:hAnsi="宋体" w:eastAsia="宋体" w:cs="宋体"/>
                <w:color w:val="auto"/>
                <w:kern w:val="0"/>
                <w:sz w:val="22"/>
                <w:szCs w:val="22"/>
                <w:highlight w:val="none"/>
                <w:lang w:val="en-US" w:eastAsia="zh-CN"/>
              </w:rPr>
              <w:t>万元；意外医疗</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农用无人机</w:t>
            </w:r>
            <w:r>
              <w:rPr>
                <w:rFonts w:hint="eastAsia" w:ascii="宋体" w:hAnsi="宋体" w:eastAsia="宋体" w:cs="宋体"/>
                <w:color w:val="auto"/>
                <w:kern w:val="0"/>
                <w:sz w:val="22"/>
                <w:szCs w:val="22"/>
                <w:highlight w:val="none"/>
                <w:lang w:val="en-US" w:eastAsia="zh-CN"/>
              </w:rPr>
              <w:t>综合</w:t>
            </w:r>
            <w:r>
              <w:rPr>
                <w:rFonts w:hint="default" w:ascii="宋体" w:hAnsi="宋体" w:eastAsia="宋体" w:cs="宋体"/>
                <w:color w:val="auto"/>
                <w:kern w:val="0"/>
                <w:sz w:val="22"/>
                <w:szCs w:val="22"/>
                <w:highlight w:val="none"/>
                <w:lang w:val="en-US" w:eastAsia="zh-CN"/>
              </w:rPr>
              <w:t>保险</w:t>
            </w: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第三者责任</w:t>
            </w:r>
            <w:r>
              <w:rPr>
                <w:rFonts w:hint="eastAsia" w:ascii="宋体" w:hAnsi="宋体" w:cs="宋体"/>
                <w:color w:val="auto"/>
                <w:kern w:val="0"/>
                <w:sz w:val="22"/>
                <w:szCs w:val="22"/>
                <w:highlight w:val="none"/>
                <w:lang w:val="en-US" w:eastAsia="zh-CN"/>
              </w:rPr>
              <w:t>（含自燃）</w:t>
            </w:r>
          </w:p>
        </w:tc>
        <w:tc>
          <w:tcPr>
            <w:tcW w:w="2346"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1000000</w:t>
            </w:r>
          </w:p>
        </w:tc>
        <w:tc>
          <w:tcPr>
            <w:tcW w:w="2480" w:type="dxa"/>
            <w:gridSpan w:val="3"/>
            <w:vMerge w:val="restart"/>
            <w:vAlign w:val="center"/>
          </w:tcPr>
          <w:p>
            <w:pPr>
              <w:snapToGrid w:val="0"/>
              <w:jc w:val="center"/>
              <w:rPr>
                <w:rFonts w:hint="default" w:ascii="宋体" w:hAnsi="宋体" w:eastAsia="宋体" w:cs="宋体"/>
                <w:b w:val="0"/>
                <w:bCs w:val="0"/>
                <w:color w:val="auto"/>
                <w:sz w:val="22"/>
                <w:szCs w:val="22"/>
                <w:highlight w:val="none"/>
                <w:vertAlign w:val="baseline"/>
                <w:lang w:val="en-US" w:eastAsia="zh-CN"/>
              </w:rPr>
            </w:pPr>
            <w:r>
              <w:rPr>
                <w:rFonts w:hint="eastAsia" w:ascii="宋体" w:hAnsi="宋体" w:cs="宋体"/>
                <w:color w:val="auto"/>
                <w:kern w:val="0"/>
                <w:sz w:val="22"/>
                <w:szCs w:val="22"/>
                <w:highlight w:val="none"/>
                <w:lang w:val="en-US" w:eastAsia="zh-CN"/>
              </w:rPr>
              <w:t>6025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无人飞机损失</w:t>
            </w:r>
            <w:r>
              <w:rPr>
                <w:rFonts w:hint="eastAsia" w:ascii="宋体" w:hAnsi="宋体" w:cs="宋体"/>
                <w:color w:val="auto"/>
                <w:kern w:val="0"/>
                <w:sz w:val="22"/>
                <w:szCs w:val="22"/>
                <w:highlight w:val="none"/>
                <w:lang w:val="en-US" w:eastAsia="zh-CN"/>
              </w:rPr>
              <w:t>（含自燃）</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50000</w:t>
            </w:r>
          </w:p>
        </w:tc>
        <w:tc>
          <w:tcPr>
            <w:tcW w:w="2480" w:type="dxa"/>
            <w:gridSpan w:val="3"/>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操作人员意外伤害</w:t>
            </w:r>
          </w:p>
        </w:tc>
        <w:tc>
          <w:tcPr>
            <w:tcW w:w="2346" w:type="dxa"/>
            <w:vAlign w:val="center"/>
          </w:tcPr>
          <w:p>
            <w:pPr>
              <w:snapToGrid w:val="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100000</w:t>
            </w:r>
          </w:p>
        </w:tc>
        <w:tc>
          <w:tcPr>
            <w:tcW w:w="2480" w:type="dxa"/>
            <w:gridSpan w:val="3"/>
            <w:vMerge w:val="continue"/>
            <w:vAlign w:val="center"/>
          </w:tcPr>
          <w:p>
            <w:pPr>
              <w:snapToGrid w:val="0"/>
              <w:jc w:val="center"/>
              <w:rPr>
                <w:rFonts w:hint="eastAsia" w:ascii="宋体" w:hAnsi="宋体" w:eastAsia="宋体" w:cs="宋体"/>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restart"/>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农用库房保险</w:t>
            </w: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库房</w:t>
            </w:r>
            <w:r>
              <w:rPr>
                <w:rFonts w:hint="eastAsia" w:ascii="宋体" w:hAnsi="宋体" w:cs="宋体"/>
                <w:color w:val="auto"/>
                <w:kern w:val="0"/>
                <w:sz w:val="22"/>
                <w:szCs w:val="22"/>
                <w:highlight w:val="none"/>
                <w:lang w:val="en-US" w:eastAsia="zh-CN"/>
              </w:rPr>
              <w:t>建筑</w:t>
            </w:r>
          </w:p>
        </w:tc>
        <w:tc>
          <w:tcPr>
            <w:tcW w:w="2346" w:type="dxa"/>
            <w:vAlign w:val="center"/>
          </w:tcPr>
          <w:p>
            <w:pPr>
              <w:snapToGrid w:val="0"/>
              <w:jc w:val="center"/>
              <w:rPr>
                <w:rFonts w:hint="default" w:eastAsia="宋体"/>
                <w:color w:val="auto"/>
                <w:highlight w:val="none"/>
                <w:lang w:val="en-US" w:eastAsia="zh-CN"/>
              </w:rPr>
            </w:pPr>
            <w:r>
              <w:rPr>
                <w:rFonts w:hint="eastAsia"/>
                <w:color w:val="auto"/>
                <w:highlight w:val="none"/>
                <w:lang w:val="en-US" w:eastAsia="zh-CN"/>
              </w:rPr>
              <w:t>2000元/㎡</w:t>
            </w:r>
          </w:p>
        </w:tc>
        <w:tc>
          <w:tcPr>
            <w:tcW w:w="1240" w:type="dxa"/>
            <w:gridSpan w:val="2"/>
            <w:vAlign w:val="center"/>
          </w:tcPr>
          <w:p>
            <w:pPr>
              <w:snapToGrid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1240" w:type="dxa"/>
            <w:vAlign w:val="center"/>
          </w:tcPr>
          <w:p>
            <w:pPr>
              <w:snapToGrid w:val="0"/>
              <w:jc w:val="center"/>
              <w:rPr>
                <w:rFonts w:hint="default" w:cs="Times New Roman"/>
                <w:color w:val="auto"/>
                <w:highlight w:val="none"/>
                <w:lang w:val="en-US" w:eastAsia="zh-CN"/>
              </w:rPr>
            </w:pPr>
            <w:r>
              <w:rPr>
                <w:rFonts w:hint="eastAsia" w:cs="Times New Roman"/>
                <w:color w:val="auto"/>
                <w:highlight w:val="none"/>
                <w:lang w:val="en-US" w:eastAsia="zh-CN"/>
              </w:rPr>
              <w:t>10</w:t>
            </w:r>
            <w:r>
              <w:rPr>
                <w:rFonts w:hint="eastAsia"/>
                <w:color w:val="auto"/>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992" w:type="dxa"/>
            <w:vMerge w:val="continue"/>
            <w:vAlign w:val="center"/>
          </w:tcPr>
          <w:p>
            <w:pPr>
              <w:snapToGrid w:val="0"/>
              <w:jc w:val="center"/>
              <w:rPr>
                <w:rFonts w:hint="default" w:ascii="宋体" w:hAnsi="宋体" w:eastAsia="宋体" w:cs="宋体"/>
                <w:color w:val="auto"/>
                <w:kern w:val="0"/>
                <w:sz w:val="22"/>
                <w:szCs w:val="22"/>
                <w:highlight w:val="none"/>
                <w:lang w:val="en-US" w:eastAsia="zh-CN"/>
              </w:rPr>
            </w:pPr>
          </w:p>
        </w:tc>
        <w:tc>
          <w:tcPr>
            <w:tcW w:w="1462" w:type="dxa"/>
            <w:vMerge w:val="continue"/>
            <w:vAlign w:val="center"/>
          </w:tcPr>
          <w:p>
            <w:pPr>
              <w:snapToGrid w:val="0"/>
              <w:jc w:val="center"/>
              <w:rPr>
                <w:rFonts w:hint="eastAsia" w:ascii="宋体" w:hAnsi="宋体" w:eastAsia="宋体" w:cs="宋体"/>
                <w:color w:val="auto"/>
                <w:kern w:val="0"/>
                <w:sz w:val="22"/>
                <w:szCs w:val="22"/>
                <w:highlight w:val="none"/>
                <w:lang w:val="en-US" w:eastAsia="zh-CN"/>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烘干设备</w:t>
            </w:r>
          </w:p>
        </w:tc>
        <w:tc>
          <w:tcPr>
            <w:tcW w:w="2346"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根据购入时设备价值确定</w:t>
            </w:r>
          </w:p>
        </w:tc>
        <w:tc>
          <w:tcPr>
            <w:tcW w:w="1240" w:type="dxa"/>
            <w:gridSpan w:val="2"/>
            <w:vAlign w:val="center"/>
          </w:tcPr>
          <w:p>
            <w:pPr>
              <w:snapToGrid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1240" w:type="dxa"/>
            <w:vAlign w:val="center"/>
          </w:tcPr>
          <w:p>
            <w:pPr>
              <w:snapToGrid w:val="0"/>
              <w:jc w:val="center"/>
              <w:rPr>
                <w:rFonts w:hint="default" w:cs="Times New Roman"/>
                <w:color w:val="auto"/>
                <w:highlight w:val="none"/>
                <w:lang w:val="en-US" w:eastAsia="zh-CN"/>
              </w:rPr>
            </w:pPr>
            <w:r>
              <w:rPr>
                <w:rFonts w:hint="eastAsia" w:cs="Times New Roman"/>
                <w:color w:val="auto"/>
                <w:highlight w:val="none"/>
                <w:lang w:val="en-US" w:eastAsia="zh-CN"/>
              </w:rPr>
              <w:t>设备价值*5‰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992" w:type="dxa"/>
            <w:vMerge w:val="continue"/>
            <w:vAlign w:val="center"/>
          </w:tcPr>
          <w:p>
            <w:pPr>
              <w:snapToGrid w:val="0"/>
              <w:jc w:val="center"/>
              <w:rPr>
                <w:color w:val="auto"/>
                <w:highlight w:val="none"/>
              </w:rPr>
            </w:pPr>
          </w:p>
        </w:tc>
        <w:tc>
          <w:tcPr>
            <w:tcW w:w="1462" w:type="dxa"/>
            <w:vMerge w:val="continue"/>
            <w:vAlign w:val="center"/>
          </w:tcPr>
          <w:p>
            <w:pPr>
              <w:snapToGrid w:val="0"/>
              <w:jc w:val="center"/>
              <w:rPr>
                <w:color w:val="auto"/>
                <w:highlight w:val="none"/>
              </w:rPr>
            </w:pPr>
          </w:p>
        </w:tc>
        <w:tc>
          <w:tcPr>
            <w:tcW w:w="1640"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第三者责任</w:t>
            </w:r>
          </w:p>
        </w:tc>
        <w:tc>
          <w:tcPr>
            <w:tcW w:w="2346" w:type="dxa"/>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5000000</w:t>
            </w:r>
          </w:p>
        </w:tc>
        <w:tc>
          <w:tcPr>
            <w:tcW w:w="1240" w:type="dxa"/>
            <w:gridSpan w:val="2"/>
            <w:vAlign w:val="center"/>
          </w:tcPr>
          <w:p>
            <w:pPr>
              <w:snapToGrid w:val="0"/>
              <w:jc w:val="center"/>
              <w:rPr>
                <w:rFonts w:hint="default" w:ascii="宋体" w:hAnsi="宋体" w:eastAsia="宋体" w:cs="宋体"/>
                <w:color w:val="auto"/>
                <w:kern w:val="0"/>
                <w:sz w:val="22"/>
                <w:szCs w:val="22"/>
                <w:highlight w:val="none"/>
                <w:lang w:val="en-US" w:eastAsia="zh-CN"/>
              </w:rPr>
            </w:pPr>
            <w:r>
              <w:rPr>
                <w:rFonts w:hint="eastAsia" w:cs="Times New Roman"/>
                <w:color w:val="auto"/>
                <w:highlight w:val="none"/>
                <w:lang w:val="en-US" w:eastAsia="zh-CN"/>
              </w:rPr>
              <w:t>1‰</w:t>
            </w:r>
          </w:p>
        </w:tc>
        <w:tc>
          <w:tcPr>
            <w:tcW w:w="1240" w:type="dxa"/>
            <w:vAlign w:val="center"/>
          </w:tcPr>
          <w:p>
            <w:pPr>
              <w:snapToGrid w:val="0"/>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5000</w:t>
            </w:r>
          </w:p>
        </w:tc>
      </w:tr>
    </w:tbl>
    <w:p>
      <w:pPr>
        <w:ind w:right="600"/>
        <w:jc w:val="both"/>
        <w:rPr>
          <w:rFonts w:hint="eastAsia" w:ascii="仿宋_GB2312" w:hAnsi="仿宋" w:eastAsia="仿宋_GB2312"/>
          <w:color w:val="auto"/>
          <w:sz w:val="22"/>
          <w:szCs w:val="22"/>
          <w:highlight w:val="none"/>
        </w:rPr>
      </w:pPr>
    </w:p>
    <w:p>
      <w:pPr>
        <w:ind w:right="600"/>
        <w:jc w:val="both"/>
        <w:rPr>
          <w:rFonts w:hint="eastAsia" w:ascii="仿宋_GB2312" w:hAnsi="仿宋" w:eastAsia="仿宋_GB2312"/>
          <w:color w:val="auto"/>
          <w:sz w:val="30"/>
          <w:szCs w:val="30"/>
          <w:highlight w:val="none"/>
        </w:rPr>
      </w:pPr>
    </w:p>
    <w:p>
      <w:pPr>
        <w:tabs>
          <w:tab w:val="left" w:pos="8620"/>
        </w:tabs>
        <w:spacing w:line="560" w:lineRule="exact"/>
        <w:ind w:firstLine="0"/>
        <w:outlineLvl w:val="9"/>
        <w:rPr>
          <w:rFonts w:hint="default" w:ascii="仿宋_GB2312" w:hAnsi="宋体" w:eastAsia="仿宋_GB2312" w:cs="宋体"/>
          <w:color w:val="auto"/>
          <w:kern w:val="0"/>
          <w:sz w:val="28"/>
          <w:szCs w:val="28"/>
          <w:highlight w:val="none"/>
          <w:lang w:val="en-US" w:eastAsia="zh-CN"/>
        </w:rPr>
      </w:pPr>
    </w:p>
    <w:sectPr>
      <w:footerReference r:id="rId3" w:type="default"/>
      <w:footerReference r:id="rId4" w:type="even"/>
      <w:pgSz w:w="11906" w:h="16838"/>
      <w:pgMar w:top="1701" w:right="1588" w:bottom="1701" w:left="158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宋体" w:hAnsi="宋体"/>
        <w:sz w:val="24"/>
        <w:szCs w:val="24"/>
      </w:rPr>
    </w:pP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- 2 -</w:t>
    </w:r>
    <w:r>
      <w:rPr>
        <w:rFonts w:ascii="宋体" w:hAnsi="宋体"/>
        <w:sz w:val="24"/>
        <w:szCs w:val="2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ODU3ZTE1NTUwZTZkN2ZkZmM1MWRiZGVkMTc5NmUifQ=="/>
  </w:docVars>
  <w:rsids>
    <w:rsidRoot w:val="003A2962"/>
    <w:rsid w:val="00010D76"/>
    <w:rsid w:val="000221A0"/>
    <w:rsid w:val="00022308"/>
    <w:rsid w:val="000348D8"/>
    <w:rsid w:val="000860E7"/>
    <w:rsid w:val="00092EB4"/>
    <w:rsid w:val="000B7072"/>
    <w:rsid w:val="000C09D6"/>
    <w:rsid w:val="000C71B1"/>
    <w:rsid w:val="000E1637"/>
    <w:rsid w:val="000E7501"/>
    <w:rsid w:val="000F563E"/>
    <w:rsid w:val="001208A8"/>
    <w:rsid w:val="00122AAB"/>
    <w:rsid w:val="0016004C"/>
    <w:rsid w:val="00167F84"/>
    <w:rsid w:val="00171B63"/>
    <w:rsid w:val="00173111"/>
    <w:rsid w:val="001A387A"/>
    <w:rsid w:val="001D7ACD"/>
    <w:rsid w:val="001E3016"/>
    <w:rsid w:val="001E494E"/>
    <w:rsid w:val="002024F5"/>
    <w:rsid w:val="00210BAE"/>
    <w:rsid w:val="00220775"/>
    <w:rsid w:val="002341FE"/>
    <w:rsid w:val="00282242"/>
    <w:rsid w:val="00287489"/>
    <w:rsid w:val="002926F2"/>
    <w:rsid w:val="00293B9B"/>
    <w:rsid w:val="0029701D"/>
    <w:rsid w:val="00297558"/>
    <w:rsid w:val="002A2606"/>
    <w:rsid w:val="002A3458"/>
    <w:rsid w:val="002B26FF"/>
    <w:rsid w:val="003035F0"/>
    <w:rsid w:val="00390A76"/>
    <w:rsid w:val="003A2962"/>
    <w:rsid w:val="003B4D99"/>
    <w:rsid w:val="003C0D0C"/>
    <w:rsid w:val="003E1C7C"/>
    <w:rsid w:val="003E2D85"/>
    <w:rsid w:val="00427621"/>
    <w:rsid w:val="00431395"/>
    <w:rsid w:val="0044337C"/>
    <w:rsid w:val="004527F8"/>
    <w:rsid w:val="00490073"/>
    <w:rsid w:val="004952BF"/>
    <w:rsid w:val="0049636A"/>
    <w:rsid w:val="00496AE1"/>
    <w:rsid w:val="00497842"/>
    <w:rsid w:val="004A1F40"/>
    <w:rsid w:val="004A71A7"/>
    <w:rsid w:val="004B11DA"/>
    <w:rsid w:val="004C080C"/>
    <w:rsid w:val="004C1AF2"/>
    <w:rsid w:val="004C333A"/>
    <w:rsid w:val="004C6DEE"/>
    <w:rsid w:val="004E598D"/>
    <w:rsid w:val="00502C86"/>
    <w:rsid w:val="00505670"/>
    <w:rsid w:val="00520C75"/>
    <w:rsid w:val="00525893"/>
    <w:rsid w:val="005275E5"/>
    <w:rsid w:val="0054689A"/>
    <w:rsid w:val="00553F0B"/>
    <w:rsid w:val="00556F35"/>
    <w:rsid w:val="005922ED"/>
    <w:rsid w:val="00593176"/>
    <w:rsid w:val="005951DD"/>
    <w:rsid w:val="005A5373"/>
    <w:rsid w:val="005C5DD2"/>
    <w:rsid w:val="005F1A56"/>
    <w:rsid w:val="005F4812"/>
    <w:rsid w:val="00600A04"/>
    <w:rsid w:val="00607899"/>
    <w:rsid w:val="006114C2"/>
    <w:rsid w:val="00611D05"/>
    <w:rsid w:val="00626173"/>
    <w:rsid w:val="00647B18"/>
    <w:rsid w:val="006649B3"/>
    <w:rsid w:val="00691A35"/>
    <w:rsid w:val="006A1681"/>
    <w:rsid w:val="006A3FD7"/>
    <w:rsid w:val="006B5FB6"/>
    <w:rsid w:val="006C22ED"/>
    <w:rsid w:val="006D6C7F"/>
    <w:rsid w:val="006E40B4"/>
    <w:rsid w:val="007029C0"/>
    <w:rsid w:val="00703742"/>
    <w:rsid w:val="007213C6"/>
    <w:rsid w:val="007412D4"/>
    <w:rsid w:val="00745BBE"/>
    <w:rsid w:val="007465AB"/>
    <w:rsid w:val="00761F8D"/>
    <w:rsid w:val="007719F5"/>
    <w:rsid w:val="00771D81"/>
    <w:rsid w:val="0079381D"/>
    <w:rsid w:val="007B0153"/>
    <w:rsid w:val="007C0188"/>
    <w:rsid w:val="007D1948"/>
    <w:rsid w:val="007E6C9D"/>
    <w:rsid w:val="007F0A78"/>
    <w:rsid w:val="00802EA8"/>
    <w:rsid w:val="008221B4"/>
    <w:rsid w:val="00822E07"/>
    <w:rsid w:val="00825F7C"/>
    <w:rsid w:val="00826455"/>
    <w:rsid w:val="00831624"/>
    <w:rsid w:val="00845600"/>
    <w:rsid w:val="00850E8F"/>
    <w:rsid w:val="0087278B"/>
    <w:rsid w:val="008758CD"/>
    <w:rsid w:val="0088059C"/>
    <w:rsid w:val="008819EE"/>
    <w:rsid w:val="008A04D1"/>
    <w:rsid w:val="008A4905"/>
    <w:rsid w:val="008C13A6"/>
    <w:rsid w:val="008E1BB6"/>
    <w:rsid w:val="008E2CCC"/>
    <w:rsid w:val="008E318B"/>
    <w:rsid w:val="009233D9"/>
    <w:rsid w:val="00930832"/>
    <w:rsid w:val="00930F51"/>
    <w:rsid w:val="00937566"/>
    <w:rsid w:val="0094362E"/>
    <w:rsid w:val="009477A1"/>
    <w:rsid w:val="00950800"/>
    <w:rsid w:val="00950F92"/>
    <w:rsid w:val="0095204E"/>
    <w:rsid w:val="009531FC"/>
    <w:rsid w:val="00956C54"/>
    <w:rsid w:val="00962652"/>
    <w:rsid w:val="0096632A"/>
    <w:rsid w:val="009A30E3"/>
    <w:rsid w:val="009B758E"/>
    <w:rsid w:val="009F3E2D"/>
    <w:rsid w:val="009F4FF5"/>
    <w:rsid w:val="00A006A1"/>
    <w:rsid w:val="00A006BE"/>
    <w:rsid w:val="00A01DDD"/>
    <w:rsid w:val="00A35528"/>
    <w:rsid w:val="00A46C8D"/>
    <w:rsid w:val="00A64509"/>
    <w:rsid w:val="00A73796"/>
    <w:rsid w:val="00AA7E47"/>
    <w:rsid w:val="00AC01DF"/>
    <w:rsid w:val="00AF1B2F"/>
    <w:rsid w:val="00B008E7"/>
    <w:rsid w:val="00B06B16"/>
    <w:rsid w:val="00B42E7E"/>
    <w:rsid w:val="00B55074"/>
    <w:rsid w:val="00B6603D"/>
    <w:rsid w:val="00B7658A"/>
    <w:rsid w:val="00B8189F"/>
    <w:rsid w:val="00B877E9"/>
    <w:rsid w:val="00B90358"/>
    <w:rsid w:val="00B91382"/>
    <w:rsid w:val="00B92C51"/>
    <w:rsid w:val="00BA7434"/>
    <w:rsid w:val="00BE3234"/>
    <w:rsid w:val="00BE3CD2"/>
    <w:rsid w:val="00BF03BD"/>
    <w:rsid w:val="00C04F9C"/>
    <w:rsid w:val="00C069C8"/>
    <w:rsid w:val="00C11D15"/>
    <w:rsid w:val="00C2532D"/>
    <w:rsid w:val="00C25515"/>
    <w:rsid w:val="00C464A4"/>
    <w:rsid w:val="00C67E40"/>
    <w:rsid w:val="00C844BD"/>
    <w:rsid w:val="00C943C0"/>
    <w:rsid w:val="00CA015F"/>
    <w:rsid w:val="00CA6042"/>
    <w:rsid w:val="00CA7CB6"/>
    <w:rsid w:val="00CE215B"/>
    <w:rsid w:val="00CF4F9C"/>
    <w:rsid w:val="00CF7D6C"/>
    <w:rsid w:val="00D16B62"/>
    <w:rsid w:val="00D2791E"/>
    <w:rsid w:val="00D404A9"/>
    <w:rsid w:val="00D57F67"/>
    <w:rsid w:val="00D70381"/>
    <w:rsid w:val="00D74E24"/>
    <w:rsid w:val="00DC7064"/>
    <w:rsid w:val="00DD1BB4"/>
    <w:rsid w:val="00DD1FA7"/>
    <w:rsid w:val="00DD32BC"/>
    <w:rsid w:val="00E03D98"/>
    <w:rsid w:val="00E10FC3"/>
    <w:rsid w:val="00E20A01"/>
    <w:rsid w:val="00E2432B"/>
    <w:rsid w:val="00E41E7C"/>
    <w:rsid w:val="00E4741E"/>
    <w:rsid w:val="00E5388D"/>
    <w:rsid w:val="00E639B2"/>
    <w:rsid w:val="00E65C5F"/>
    <w:rsid w:val="00E75734"/>
    <w:rsid w:val="00E76B8C"/>
    <w:rsid w:val="00E80B42"/>
    <w:rsid w:val="00EA2571"/>
    <w:rsid w:val="00F0160A"/>
    <w:rsid w:val="00F02324"/>
    <w:rsid w:val="00F05B59"/>
    <w:rsid w:val="00F126F7"/>
    <w:rsid w:val="00F1796C"/>
    <w:rsid w:val="00F302D0"/>
    <w:rsid w:val="00F4205A"/>
    <w:rsid w:val="00F60B36"/>
    <w:rsid w:val="00F67559"/>
    <w:rsid w:val="00F764C1"/>
    <w:rsid w:val="00FB75ED"/>
    <w:rsid w:val="00FD2A70"/>
    <w:rsid w:val="00FD503C"/>
    <w:rsid w:val="00FD7F29"/>
    <w:rsid w:val="00FE3BE8"/>
    <w:rsid w:val="00FF1E77"/>
    <w:rsid w:val="016F0D4A"/>
    <w:rsid w:val="024758E5"/>
    <w:rsid w:val="026857D4"/>
    <w:rsid w:val="02D948CC"/>
    <w:rsid w:val="03857BDE"/>
    <w:rsid w:val="03F7152F"/>
    <w:rsid w:val="04796883"/>
    <w:rsid w:val="0578330B"/>
    <w:rsid w:val="060A1EDA"/>
    <w:rsid w:val="06670978"/>
    <w:rsid w:val="06ED2DA6"/>
    <w:rsid w:val="07704C02"/>
    <w:rsid w:val="07D9044E"/>
    <w:rsid w:val="088302E8"/>
    <w:rsid w:val="09080B05"/>
    <w:rsid w:val="09697F3E"/>
    <w:rsid w:val="09D920F1"/>
    <w:rsid w:val="09E000A7"/>
    <w:rsid w:val="0A1074B0"/>
    <w:rsid w:val="0A79605F"/>
    <w:rsid w:val="0A813D90"/>
    <w:rsid w:val="0AFA59F1"/>
    <w:rsid w:val="0AFD4F98"/>
    <w:rsid w:val="0B707E59"/>
    <w:rsid w:val="0B7B1FE3"/>
    <w:rsid w:val="0BC01472"/>
    <w:rsid w:val="0D160AFD"/>
    <w:rsid w:val="0E097A31"/>
    <w:rsid w:val="0ECA1DF5"/>
    <w:rsid w:val="0F5229B3"/>
    <w:rsid w:val="0FC5746F"/>
    <w:rsid w:val="110C6C40"/>
    <w:rsid w:val="11771034"/>
    <w:rsid w:val="117F1CC3"/>
    <w:rsid w:val="11A709F2"/>
    <w:rsid w:val="11C7593B"/>
    <w:rsid w:val="12465C41"/>
    <w:rsid w:val="13624399"/>
    <w:rsid w:val="13714B85"/>
    <w:rsid w:val="13F72DF0"/>
    <w:rsid w:val="14637EA0"/>
    <w:rsid w:val="14B27021"/>
    <w:rsid w:val="14BF1D95"/>
    <w:rsid w:val="14BF6E83"/>
    <w:rsid w:val="158C1346"/>
    <w:rsid w:val="16CA2D9A"/>
    <w:rsid w:val="16D90A44"/>
    <w:rsid w:val="175C391F"/>
    <w:rsid w:val="177B159F"/>
    <w:rsid w:val="17937774"/>
    <w:rsid w:val="17CF6365"/>
    <w:rsid w:val="18657E19"/>
    <w:rsid w:val="188E5359"/>
    <w:rsid w:val="18B52009"/>
    <w:rsid w:val="18C84A46"/>
    <w:rsid w:val="1A4262E5"/>
    <w:rsid w:val="1B5530CD"/>
    <w:rsid w:val="1BBC5511"/>
    <w:rsid w:val="1BCE3CF3"/>
    <w:rsid w:val="1CDE58B0"/>
    <w:rsid w:val="1D405261"/>
    <w:rsid w:val="1D7B60F4"/>
    <w:rsid w:val="1E3D35DE"/>
    <w:rsid w:val="1E9D489E"/>
    <w:rsid w:val="1EBC7238"/>
    <w:rsid w:val="1F590291"/>
    <w:rsid w:val="1FCF7656"/>
    <w:rsid w:val="202A051A"/>
    <w:rsid w:val="203A7C17"/>
    <w:rsid w:val="208479E8"/>
    <w:rsid w:val="21CD3D5F"/>
    <w:rsid w:val="22110F8C"/>
    <w:rsid w:val="227F6529"/>
    <w:rsid w:val="238F08E5"/>
    <w:rsid w:val="23EF6A23"/>
    <w:rsid w:val="24190849"/>
    <w:rsid w:val="257D4E31"/>
    <w:rsid w:val="25A13D6C"/>
    <w:rsid w:val="25A34ACC"/>
    <w:rsid w:val="25FB2597"/>
    <w:rsid w:val="260B3F38"/>
    <w:rsid w:val="26194ACD"/>
    <w:rsid w:val="264820E6"/>
    <w:rsid w:val="275740C4"/>
    <w:rsid w:val="2775045C"/>
    <w:rsid w:val="281E1E0D"/>
    <w:rsid w:val="285403E8"/>
    <w:rsid w:val="28E726AB"/>
    <w:rsid w:val="28ED3673"/>
    <w:rsid w:val="292970F4"/>
    <w:rsid w:val="2A043D7C"/>
    <w:rsid w:val="2A6B3066"/>
    <w:rsid w:val="2B470F10"/>
    <w:rsid w:val="2B811BA6"/>
    <w:rsid w:val="2CAF0731"/>
    <w:rsid w:val="2CDC46B9"/>
    <w:rsid w:val="2D010232"/>
    <w:rsid w:val="2D1736E6"/>
    <w:rsid w:val="2DFC0D1C"/>
    <w:rsid w:val="2E8C0CED"/>
    <w:rsid w:val="2F6E6678"/>
    <w:rsid w:val="2F785E3B"/>
    <w:rsid w:val="2FFC5D28"/>
    <w:rsid w:val="30B85C50"/>
    <w:rsid w:val="31355090"/>
    <w:rsid w:val="32335A40"/>
    <w:rsid w:val="32363CBC"/>
    <w:rsid w:val="324935D7"/>
    <w:rsid w:val="32AF227C"/>
    <w:rsid w:val="32F55F31"/>
    <w:rsid w:val="33822F2D"/>
    <w:rsid w:val="33D359AA"/>
    <w:rsid w:val="346C3DD3"/>
    <w:rsid w:val="358F16C3"/>
    <w:rsid w:val="359C0599"/>
    <w:rsid w:val="35CF5088"/>
    <w:rsid w:val="35EA2935"/>
    <w:rsid w:val="36D467D4"/>
    <w:rsid w:val="36F95463"/>
    <w:rsid w:val="37121354"/>
    <w:rsid w:val="37601726"/>
    <w:rsid w:val="377C4B33"/>
    <w:rsid w:val="3789032B"/>
    <w:rsid w:val="379A3E49"/>
    <w:rsid w:val="379E7C71"/>
    <w:rsid w:val="37CF62FE"/>
    <w:rsid w:val="37F00FD4"/>
    <w:rsid w:val="380430EC"/>
    <w:rsid w:val="3869111E"/>
    <w:rsid w:val="389660AA"/>
    <w:rsid w:val="38A0725A"/>
    <w:rsid w:val="38D812D2"/>
    <w:rsid w:val="398C0DD3"/>
    <w:rsid w:val="3BF5596C"/>
    <w:rsid w:val="3C794000"/>
    <w:rsid w:val="3D28243A"/>
    <w:rsid w:val="3DDC06D0"/>
    <w:rsid w:val="3E01731C"/>
    <w:rsid w:val="3F177F7A"/>
    <w:rsid w:val="3F4B1266"/>
    <w:rsid w:val="40036170"/>
    <w:rsid w:val="413259F4"/>
    <w:rsid w:val="41A82025"/>
    <w:rsid w:val="422A4F32"/>
    <w:rsid w:val="425D0B7D"/>
    <w:rsid w:val="42BC4D88"/>
    <w:rsid w:val="4426633A"/>
    <w:rsid w:val="453013EF"/>
    <w:rsid w:val="455455BF"/>
    <w:rsid w:val="467C2F5F"/>
    <w:rsid w:val="46B91355"/>
    <w:rsid w:val="46F65C7F"/>
    <w:rsid w:val="47595939"/>
    <w:rsid w:val="47664794"/>
    <w:rsid w:val="477375C7"/>
    <w:rsid w:val="47D16D6B"/>
    <w:rsid w:val="48632753"/>
    <w:rsid w:val="48757F35"/>
    <w:rsid w:val="48AF154D"/>
    <w:rsid w:val="49A34140"/>
    <w:rsid w:val="49F271B8"/>
    <w:rsid w:val="4A075455"/>
    <w:rsid w:val="4A1753C8"/>
    <w:rsid w:val="4B1052D5"/>
    <w:rsid w:val="4B2500AE"/>
    <w:rsid w:val="4B92038C"/>
    <w:rsid w:val="4BF11FEF"/>
    <w:rsid w:val="4C101C75"/>
    <w:rsid w:val="4C70688A"/>
    <w:rsid w:val="4D891860"/>
    <w:rsid w:val="4DDA66BA"/>
    <w:rsid w:val="4E051849"/>
    <w:rsid w:val="4E5053A7"/>
    <w:rsid w:val="4ECD4CD9"/>
    <w:rsid w:val="4F8B1A8D"/>
    <w:rsid w:val="50077D15"/>
    <w:rsid w:val="50532ED8"/>
    <w:rsid w:val="51303E0D"/>
    <w:rsid w:val="514A687C"/>
    <w:rsid w:val="51B75D97"/>
    <w:rsid w:val="52327E37"/>
    <w:rsid w:val="53836593"/>
    <w:rsid w:val="54440544"/>
    <w:rsid w:val="553238D3"/>
    <w:rsid w:val="563F0FF4"/>
    <w:rsid w:val="565774C8"/>
    <w:rsid w:val="57A13B25"/>
    <w:rsid w:val="580538B4"/>
    <w:rsid w:val="584A5AA7"/>
    <w:rsid w:val="587532F9"/>
    <w:rsid w:val="589D1ACB"/>
    <w:rsid w:val="58E472B6"/>
    <w:rsid w:val="5A071D55"/>
    <w:rsid w:val="5A3B65EC"/>
    <w:rsid w:val="5A9D3841"/>
    <w:rsid w:val="5AEC7716"/>
    <w:rsid w:val="5C6A27D3"/>
    <w:rsid w:val="5E2A483F"/>
    <w:rsid w:val="5F66290E"/>
    <w:rsid w:val="5F693096"/>
    <w:rsid w:val="60F54587"/>
    <w:rsid w:val="60F87AA7"/>
    <w:rsid w:val="61370E74"/>
    <w:rsid w:val="619B69B6"/>
    <w:rsid w:val="62A406DD"/>
    <w:rsid w:val="632A31CC"/>
    <w:rsid w:val="63C24F39"/>
    <w:rsid w:val="64191465"/>
    <w:rsid w:val="656A49F7"/>
    <w:rsid w:val="658111A0"/>
    <w:rsid w:val="66306F9F"/>
    <w:rsid w:val="672F632A"/>
    <w:rsid w:val="68010E88"/>
    <w:rsid w:val="6869473C"/>
    <w:rsid w:val="68D40CF1"/>
    <w:rsid w:val="699F6F59"/>
    <w:rsid w:val="6AB95ECC"/>
    <w:rsid w:val="6B302B67"/>
    <w:rsid w:val="6B8D6078"/>
    <w:rsid w:val="6C8223B8"/>
    <w:rsid w:val="6C853995"/>
    <w:rsid w:val="6D863A49"/>
    <w:rsid w:val="6DA54FA4"/>
    <w:rsid w:val="6DDC6C76"/>
    <w:rsid w:val="6E196034"/>
    <w:rsid w:val="6F3D63E2"/>
    <w:rsid w:val="6F510FE9"/>
    <w:rsid w:val="6F53491E"/>
    <w:rsid w:val="6F863007"/>
    <w:rsid w:val="6FBA542A"/>
    <w:rsid w:val="6FD71A99"/>
    <w:rsid w:val="70C57DC3"/>
    <w:rsid w:val="71312172"/>
    <w:rsid w:val="716F4DF2"/>
    <w:rsid w:val="717B0A3E"/>
    <w:rsid w:val="7192234D"/>
    <w:rsid w:val="7275127D"/>
    <w:rsid w:val="72AA240C"/>
    <w:rsid w:val="72F940B3"/>
    <w:rsid w:val="73936D0A"/>
    <w:rsid w:val="73CE5A0F"/>
    <w:rsid w:val="742203FE"/>
    <w:rsid w:val="74535C68"/>
    <w:rsid w:val="75764AC6"/>
    <w:rsid w:val="76420A31"/>
    <w:rsid w:val="768B3F66"/>
    <w:rsid w:val="7733153D"/>
    <w:rsid w:val="78D63631"/>
    <w:rsid w:val="78FC7DB2"/>
    <w:rsid w:val="790142DB"/>
    <w:rsid w:val="79405CE0"/>
    <w:rsid w:val="79F34519"/>
    <w:rsid w:val="7A3F4A1F"/>
    <w:rsid w:val="7A4F4CB9"/>
    <w:rsid w:val="7A74292B"/>
    <w:rsid w:val="7AC03A00"/>
    <w:rsid w:val="7BB92F07"/>
    <w:rsid w:val="7D673002"/>
    <w:rsid w:val="7E813C80"/>
    <w:rsid w:val="7E996B71"/>
    <w:rsid w:val="7ED10C1A"/>
    <w:rsid w:val="7F1142AC"/>
    <w:rsid w:val="7F893CE2"/>
    <w:rsid w:val="7F8E00D4"/>
    <w:rsid w:val="7FE351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ind w:firstLine="1840"/>
    </w:pPr>
  </w:style>
  <w:style w:type="paragraph" w:styleId="4">
    <w:name w:val="Document Map"/>
    <w:basedOn w:val="1"/>
    <w:semiHidden/>
    <w:qFormat/>
    <w:uiPriority w:val="0"/>
    <w:pPr>
      <w:shd w:val="clear" w:color="auto" w:fill="00008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Char"/>
    <w:basedOn w:val="1"/>
    <w:qFormat/>
    <w:uiPriority w:val="0"/>
    <w:rPr>
      <w:rFonts w:ascii="Tahoma" w:hAnsi="Tahoma" w:cs="Tahoma"/>
      <w:sz w:val="24"/>
    </w:rPr>
  </w:style>
  <w:style w:type="paragraph" w:customStyle="1" w:styleId="15">
    <w:name w:val="_Style 14"/>
    <w:basedOn w:val="1"/>
    <w:qFormat/>
    <w:uiPriority w:val="34"/>
    <w:pPr>
      <w:ind w:firstLine="420" w:firstLineChars="200"/>
    </w:p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表格1"/>
    <w:basedOn w:val="1"/>
    <w:qFormat/>
    <w:uiPriority w:val="0"/>
    <w:pPr>
      <w:spacing w:line="0" w:lineRule="atLeast"/>
      <w:ind w:firstLine="0" w:firstLineChars="0"/>
      <w:jc w:val="center"/>
    </w:pPr>
    <w:rPr>
      <w:sz w:val="24"/>
    </w:rPr>
  </w:style>
  <w:style w:type="table" w:customStyle="1" w:styleId="1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nwbgs</Company>
  <Pages>35</Pages>
  <Words>8838</Words>
  <Characters>10117</Characters>
  <Lines>42</Lines>
  <Paragraphs>11</Paragraphs>
  <ScaleCrop>false</ScaleCrop>
  <LinksUpToDate>false</LinksUpToDate>
  <CharactersWithSpaces>10235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2018-09-23T02:51:00Z</dcterms:created>
  <dc:creator>时 代</dc:creator>
  <cp:lastModifiedBy>wuyuedi</cp:lastModifiedBy>
  <cp:lastPrinted>2025-10-16T01:35:00Z</cp:lastPrinted>
  <dcterms:modified xsi:type="dcterms:W3CDTF">2025-11-03T08:08:21Z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AF7D133CBC7A428985D9B5F0875E580D</vt:lpwstr>
  </property>
</Properties>
</file>