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8DF0D">
      <w:pPr>
        <w:jc w:val="center"/>
        <w:rPr>
          <w:rFonts w:ascii="方正小标宋简体" w:hAnsi="仿宋" w:eastAsia="方正小标宋简体"/>
          <w:sz w:val="36"/>
          <w:szCs w:val="36"/>
        </w:rPr>
      </w:pPr>
      <w:bookmarkStart w:id="0" w:name="_GoBack"/>
      <w:bookmarkEnd w:id="0"/>
      <w:r>
        <w:rPr>
          <w:rFonts w:hint="eastAsia" w:ascii="方正小标宋简体" w:hAnsi="仿宋" w:eastAsia="方正小标宋简体"/>
          <w:sz w:val="36"/>
          <w:szCs w:val="36"/>
        </w:rPr>
        <w:t>关于《关于进一步规范本区长期护理保险试点工作的实施意见（草案）》的起草说明</w:t>
      </w:r>
    </w:p>
    <w:p w14:paraId="7104BD9F">
      <w:pPr>
        <w:ind w:firstLine="600" w:firstLineChars="200"/>
        <w:rPr>
          <w:rFonts w:ascii="仿宋_GB2312" w:hAnsi="仿宋" w:eastAsia="仿宋_GB2312"/>
          <w:sz w:val="30"/>
          <w:szCs w:val="30"/>
        </w:rPr>
      </w:pPr>
    </w:p>
    <w:p w14:paraId="3FD9D19E">
      <w:pPr>
        <w:ind w:firstLine="600" w:firstLineChars="200"/>
        <w:rPr>
          <w:rFonts w:ascii="黑体" w:hAnsi="黑体" w:eastAsia="黑体"/>
          <w:sz w:val="30"/>
          <w:szCs w:val="30"/>
        </w:rPr>
      </w:pPr>
      <w:r>
        <w:rPr>
          <w:rFonts w:hint="eastAsia" w:ascii="黑体" w:hAnsi="黑体" w:eastAsia="黑体"/>
          <w:sz w:val="30"/>
          <w:szCs w:val="30"/>
        </w:rPr>
        <w:t>一、起草背景</w:t>
      </w:r>
    </w:p>
    <w:p w14:paraId="2D5FE9E5">
      <w:pPr>
        <w:ind w:firstLine="600" w:firstLineChars="200"/>
        <w:rPr>
          <w:rFonts w:ascii="仿宋_GB2312" w:hAnsi="仿宋" w:eastAsia="仿宋_GB2312"/>
          <w:sz w:val="30"/>
          <w:szCs w:val="30"/>
        </w:rPr>
      </w:pPr>
      <w:r>
        <w:rPr>
          <w:rFonts w:hint="eastAsia" w:ascii="仿宋_GB2312" w:hAnsi="仿宋" w:eastAsia="仿宋_GB2312"/>
          <w:sz w:val="30"/>
          <w:szCs w:val="30"/>
        </w:rPr>
        <w:t>为进一步规范长护险试点工作，切实保障失能老人基本护理需求，我区于2020年6月制定出台了《上海市嘉定区人民政府关于印发&lt;关于进一步规范本区长期护理保险试点工作的实施意见（试行）&gt;的通知》（嘉府规〔2020〕5号）</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2022年3月修订（</w:t>
      </w:r>
      <w:r>
        <w:rPr>
          <w:rFonts w:hint="eastAsia" w:ascii="仿宋_GB2312" w:hAnsi="仿宋" w:eastAsia="仿宋_GB2312"/>
          <w:sz w:val="30"/>
          <w:szCs w:val="30"/>
        </w:rPr>
        <w:t>嘉府规〔202</w:t>
      </w:r>
      <w:r>
        <w:rPr>
          <w:rFonts w:hint="eastAsia" w:ascii="仿宋_GB2312" w:hAnsi="仿宋" w:eastAsia="仿宋_GB2312"/>
          <w:sz w:val="30"/>
          <w:szCs w:val="30"/>
          <w:lang w:val="en-US" w:eastAsia="zh-CN"/>
        </w:rPr>
        <w:t>2</w:t>
      </w:r>
      <w:r>
        <w:rPr>
          <w:rFonts w:hint="eastAsia" w:ascii="仿宋_GB2312" w:hAnsi="仿宋" w:eastAsia="仿宋_GB2312"/>
          <w:sz w:val="30"/>
          <w:szCs w:val="30"/>
        </w:rPr>
        <w:t>〕</w:t>
      </w:r>
      <w:r>
        <w:rPr>
          <w:rFonts w:hint="eastAsia" w:ascii="仿宋_GB2312" w:hAnsi="仿宋" w:eastAsia="仿宋_GB2312"/>
          <w:sz w:val="30"/>
          <w:szCs w:val="30"/>
          <w:lang w:val="en-US" w:eastAsia="zh-CN"/>
        </w:rPr>
        <w:t>1</w:t>
      </w:r>
      <w:r>
        <w:rPr>
          <w:rFonts w:hint="eastAsia" w:ascii="仿宋_GB2312" w:hAnsi="仿宋" w:eastAsia="仿宋_GB2312"/>
          <w:sz w:val="30"/>
          <w:szCs w:val="30"/>
        </w:rPr>
        <w:t>号</w:t>
      </w:r>
      <w:r>
        <w:rPr>
          <w:rFonts w:hint="eastAsia" w:ascii="仿宋_GB2312" w:hAnsi="仿宋" w:eastAsia="仿宋_GB2312"/>
          <w:sz w:val="30"/>
          <w:szCs w:val="30"/>
          <w:lang w:val="en-US" w:eastAsia="zh-CN"/>
        </w:rPr>
        <w:t>）,2023年12月延期（嘉府规〔2023〕4号）</w:t>
      </w:r>
      <w:r>
        <w:rPr>
          <w:rFonts w:hint="eastAsia" w:ascii="仿宋_GB2312" w:hAnsi="仿宋" w:eastAsia="仿宋_GB2312"/>
          <w:sz w:val="30"/>
          <w:szCs w:val="30"/>
        </w:rPr>
        <w:t>，有效期至202</w:t>
      </w:r>
      <w:r>
        <w:rPr>
          <w:rFonts w:hint="eastAsia" w:ascii="仿宋_GB2312" w:hAnsi="仿宋" w:eastAsia="仿宋_GB2312"/>
          <w:sz w:val="30"/>
          <w:szCs w:val="30"/>
          <w:lang w:val="en-US" w:eastAsia="zh-CN"/>
        </w:rPr>
        <w:t>5</w:t>
      </w:r>
      <w:r>
        <w:rPr>
          <w:rFonts w:hint="eastAsia" w:ascii="仿宋_GB2312" w:hAnsi="仿宋" w:eastAsia="仿宋_GB2312"/>
          <w:sz w:val="30"/>
          <w:szCs w:val="30"/>
        </w:rPr>
        <w:t>年12月31日。文件实施</w:t>
      </w:r>
      <w:r>
        <w:rPr>
          <w:rFonts w:hint="eastAsia" w:ascii="仿宋_GB2312" w:hAnsi="仿宋" w:eastAsia="仿宋_GB2312"/>
          <w:sz w:val="30"/>
          <w:szCs w:val="30"/>
          <w:lang w:eastAsia="zh-CN"/>
        </w:rPr>
        <w:t>六</w:t>
      </w:r>
      <w:r>
        <w:rPr>
          <w:rFonts w:hint="eastAsia" w:ascii="仿宋_GB2312" w:hAnsi="仿宋" w:eastAsia="仿宋_GB2312"/>
          <w:sz w:val="30"/>
          <w:szCs w:val="30"/>
        </w:rPr>
        <w:t>年多来，在规范长护险受理、评估、服务、监管等各环节工作，发挥相关职能部门、街镇联动合力等方面都起到了积极作用。因该文件即将到期，且相关上位法依据也</w:t>
      </w:r>
      <w:r>
        <w:rPr>
          <w:rFonts w:hint="eastAsia" w:ascii="仿宋_GB2312" w:hAnsi="仿宋" w:eastAsia="仿宋_GB2312"/>
          <w:sz w:val="30"/>
          <w:szCs w:val="30"/>
          <w:lang w:eastAsia="zh-CN"/>
        </w:rPr>
        <w:t>进行了微调</w:t>
      </w:r>
      <w:r>
        <w:rPr>
          <w:rFonts w:hint="eastAsia" w:ascii="仿宋_GB2312" w:hAnsi="仿宋" w:eastAsia="仿宋_GB2312"/>
          <w:sz w:val="30"/>
          <w:szCs w:val="30"/>
        </w:rPr>
        <w:t>，为保证政策制定的严肃性和文件实施的连贯性、延续性，在政策主要内容保持不变的前提下，我区对原文件相关内容进行了</w:t>
      </w:r>
      <w:r>
        <w:rPr>
          <w:rFonts w:hint="eastAsia" w:ascii="仿宋_GB2312" w:hAnsi="仿宋" w:eastAsia="仿宋_GB2312"/>
          <w:sz w:val="30"/>
          <w:szCs w:val="30"/>
          <w:lang w:eastAsia="zh-CN"/>
        </w:rPr>
        <w:t>部分修改</w:t>
      </w:r>
      <w:r>
        <w:rPr>
          <w:rFonts w:hint="eastAsia" w:ascii="仿宋_GB2312" w:hAnsi="仿宋" w:eastAsia="仿宋_GB2312"/>
          <w:sz w:val="30"/>
          <w:szCs w:val="30"/>
        </w:rPr>
        <w:t>。</w:t>
      </w:r>
    </w:p>
    <w:p w14:paraId="12F94DA0">
      <w:pPr>
        <w:ind w:firstLine="600" w:firstLineChars="200"/>
        <w:rPr>
          <w:rFonts w:ascii="黑体" w:hAnsi="黑体" w:eastAsia="黑体"/>
          <w:sz w:val="30"/>
          <w:szCs w:val="30"/>
        </w:rPr>
      </w:pPr>
      <w:r>
        <w:rPr>
          <w:rFonts w:hint="eastAsia" w:ascii="黑体" w:hAnsi="黑体" w:eastAsia="黑体"/>
          <w:sz w:val="30"/>
          <w:szCs w:val="30"/>
        </w:rPr>
        <w:t>二、主要内容</w:t>
      </w:r>
    </w:p>
    <w:p w14:paraId="7815092D">
      <w:pPr>
        <w:ind w:firstLine="602" w:firstLineChars="200"/>
        <w:rPr>
          <w:rFonts w:ascii="楷体_GB2312" w:hAnsi="仿宋" w:eastAsia="楷体_GB2312"/>
          <w:b/>
          <w:sz w:val="30"/>
          <w:szCs w:val="30"/>
        </w:rPr>
      </w:pPr>
      <w:r>
        <w:rPr>
          <w:rFonts w:hint="eastAsia" w:ascii="楷体_GB2312" w:hAnsi="仿宋" w:eastAsia="楷体_GB2312"/>
          <w:b/>
          <w:sz w:val="30"/>
          <w:szCs w:val="30"/>
        </w:rPr>
        <w:t>（一）文件主要内容</w:t>
      </w:r>
    </w:p>
    <w:p w14:paraId="08A7A8CC">
      <w:pPr>
        <w:ind w:firstLine="600" w:firstLineChars="200"/>
        <w:rPr>
          <w:rFonts w:ascii="仿宋_GB2312" w:hAnsi="仿宋" w:eastAsia="仿宋_GB2312"/>
          <w:sz w:val="30"/>
          <w:szCs w:val="30"/>
        </w:rPr>
      </w:pPr>
      <w:r>
        <w:rPr>
          <w:rFonts w:hint="eastAsia" w:ascii="仿宋_GB2312" w:hAnsi="仿宋" w:eastAsia="仿宋_GB2312"/>
          <w:sz w:val="30"/>
          <w:szCs w:val="30"/>
        </w:rPr>
        <w:t>文件正文由指导思想、基本要求、主要内容、责任处理、职责分工、其他、有效期等七部分组成。</w:t>
      </w:r>
    </w:p>
    <w:p w14:paraId="29960D52">
      <w:pPr>
        <w:ind w:firstLine="600" w:firstLineChars="200"/>
        <w:rPr>
          <w:rFonts w:ascii="仿宋_GB2312" w:hAnsi="仿宋" w:eastAsia="仿宋_GB2312"/>
          <w:sz w:val="30"/>
          <w:szCs w:val="30"/>
        </w:rPr>
      </w:pPr>
      <w:r>
        <w:rPr>
          <w:rFonts w:hint="eastAsia" w:ascii="仿宋_GB2312" w:hAnsi="仿宋" w:eastAsia="仿宋_GB2312"/>
          <w:sz w:val="30"/>
          <w:szCs w:val="30"/>
        </w:rPr>
        <w:t>其中，基本要求部分：提出了统筹规划，稳步推进；部门联动，提质增效；依法合规，公开透明等三条工作要求。主要内容部分：围绕受理、评估、服务、监管四个环节展开，并提出相关工作要求。责任处理部分：明确了长护险定点机构、参保人、经办机构等三类责任主体如发生违法违规行为的处理规定。</w:t>
      </w:r>
    </w:p>
    <w:p w14:paraId="60E8558D">
      <w:pPr>
        <w:ind w:firstLine="602" w:firstLineChars="200"/>
        <w:rPr>
          <w:rFonts w:ascii="楷体_GB2312" w:hAnsi="仿宋" w:eastAsia="楷体_GB2312"/>
          <w:b/>
          <w:sz w:val="30"/>
          <w:szCs w:val="30"/>
        </w:rPr>
      </w:pPr>
      <w:r>
        <w:rPr>
          <w:rFonts w:hint="eastAsia" w:ascii="楷体_GB2312" w:hAnsi="仿宋" w:eastAsia="楷体_GB2312"/>
          <w:b/>
          <w:sz w:val="30"/>
          <w:szCs w:val="30"/>
        </w:rPr>
        <w:t>（二）较原文件（嘉府规〔202</w:t>
      </w:r>
      <w:r>
        <w:rPr>
          <w:rFonts w:hint="eastAsia" w:ascii="楷体_GB2312" w:hAnsi="仿宋" w:eastAsia="楷体_GB2312"/>
          <w:b/>
          <w:sz w:val="30"/>
          <w:szCs w:val="30"/>
          <w:lang w:val="en-US" w:eastAsia="zh-CN"/>
        </w:rPr>
        <w:t>2</w:t>
      </w:r>
      <w:r>
        <w:rPr>
          <w:rFonts w:hint="eastAsia" w:ascii="楷体_GB2312" w:hAnsi="仿宋" w:eastAsia="楷体_GB2312"/>
          <w:b/>
          <w:sz w:val="30"/>
          <w:szCs w:val="30"/>
        </w:rPr>
        <w:t>〕</w:t>
      </w:r>
      <w:r>
        <w:rPr>
          <w:rFonts w:hint="eastAsia" w:ascii="楷体_GB2312" w:hAnsi="仿宋" w:eastAsia="楷体_GB2312"/>
          <w:b/>
          <w:sz w:val="30"/>
          <w:szCs w:val="30"/>
          <w:lang w:val="en-US" w:eastAsia="zh-CN"/>
        </w:rPr>
        <w:t>1</w:t>
      </w:r>
      <w:r>
        <w:rPr>
          <w:rFonts w:hint="eastAsia" w:ascii="楷体_GB2312" w:hAnsi="仿宋" w:eastAsia="楷体_GB2312"/>
          <w:b/>
          <w:sz w:val="30"/>
          <w:szCs w:val="30"/>
        </w:rPr>
        <w:t>号）的修改之处</w:t>
      </w:r>
    </w:p>
    <w:p w14:paraId="53A6DF39">
      <w:pPr>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eastAsia="zh-CN"/>
        </w:rPr>
        <w:t>1、“基本要求”第一条“统筹规划，稳步推进”中删除“做到控制增量、消化存量、调整结构”。</w:t>
      </w:r>
    </w:p>
    <w:p w14:paraId="77454F89">
      <w:pPr>
        <w:ind w:firstLine="600" w:firstLineChars="200"/>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2、“主要内容”第一条“严格申请受理”中删除“受理中心将申请人信息转发至相关街镇社区卫生服务中心，由申请人签约的家庭医生出具其近三个月内健康状况的核实意见，作为评估机构开展上门评估的参考依据”。增加“期末评估可在随申办嘉定旗舰店在线申请”。</w:t>
      </w:r>
    </w:p>
    <w:p w14:paraId="0F69DE3F">
      <w:pPr>
        <w:ind w:firstLine="600" w:firstLineChars="200"/>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3、“主要内容”第二条“提高评估质量”中删除“定点评估机构以签约形式开展工作，划定责任区域”。</w:t>
      </w:r>
    </w:p>
    <w:p w14:paraId="1ABDAD9A">
      <w:pPr>
        <w:ind w:firstLine="600" w:firstLineChars="200"/>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4、“主要内容”第四条“加强过程监管”中删除“组建区医疗保障协会长护险专委会，通过飞行检查和行业自律规范行业发展”，将“压实街镇管理责任，发挥村（居）委会贴近服务对象、贴近服务现场的优势，对评价结果、服务质量等开展评价和监督”改为：“压实街镇属地管理责任，对评价结果、服务质量等协助开展评价和监督”。</w:t>
      </w:r>
    </w:p>
    <w:p w14:paraId="1DC8A96E">
      <w:pPr>
        <w:ind w:firstLine="600" w:firstLineChars="200"/>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5、“责任处理”中两处“并按照《上海市基本医疗保险监督管理办法》追究法律责任”统一改成“并依法追究法律责任”。</w:t>
      </w:r>
    </w:p>
    <w:p w14:paraId="150BA8EB">
      <w:pPr>
        <w:ind w:firstLine="600" w:firstLineChars="200"/>
        <w:rPr>
          <w:rFonts w:hint="eastAsia" w:ascii="仿宋_GB2312" w:hAnsi="仿宋" w:eastAsia="仿宋_GB2312"/>
          <w:sz w:val="30"/>
          <w:szCs w:val="30"/>
          <w:lang w:val="en-US" w:eastAsia="zh-CN"/>
        </w:rPr>
      </w:pPr>
      <w:r>
        <w:rPr>
          <w:rFonts w:hint="eastAsia" w:ascii="仿宋_GB2312" w:hAnsi="仿宋" w:eastAsia="仿宋_GB2312"/>
          <w:sz w:val="30"/>
          <w:szCs w:val="30"/>
          <w:lang w:val="en-US" w:eastAsia="zh-CN"/>
        </w:rPr>
        <w:t>6、“职责分工”中原内容删除，将原文件附件2中成员单位职责加入该部分内容，其中区民政局职责中删除“负责统筹配置全区养老服务资源的供给、派发和轮候”；区卫健委职责中将“</w:t>
      </w:r>
      <w:r>
        <w:rPr>
          <w:rFonts w:hint="eastAsia" w:ascii="仿宋_GB2312" w:hAnsi="仿宋" w:eastAsia="仿宋_GB2312"/>
          <w:sz w:val="30"/>
          <w:szCs w:val="30"/>
        </w:rPr>
        <w:t>负</w:t>
      </w:r>
      <w:r>
        <w:rPr>
          <w:rFonts w:hint="eastAsia" w:ascii="仿宋_GB2312" w:hAnsi="仿宋" w:eastAsia="仿宋_GB2312"/>
          <w:sz w:val="30"/>
          <w:szCs w:val="30"/>
          <w:lang w:val="en-US" w:eastAsia="zh-CN"/>
        </w:rPr>
        <w:t>责落实家庭医生参与签约对象评估工作指导；社区卫生服务中心家庭医生负责预先核实签约老人申请长期护理保险待遇时的身体状况”修改为“负责落实推动支持家庭医生参与老年照护统一需求评估工作，加强对评估和失能老人健康服务的指导”；区财政局职责中将“</w:t>
      </w:r>
      <w:r>
        <w:rPr>
          <w:rFonts w:hint="eastAsia" w:ascii="仿宋_GB2312" w:hAnsi="仿宋" w:eastAsia="仿宋_GB2312"/>
          <w:sz w:val="30"/>
          <w:szCs w:val="30"/>
        </w:rPr>
        <w:t>做好长期护理保险相关配套资金保障和配套资金监管等工作</w:t>
      </w:r>
      <w:r>
        <w:rPr>
          <w:rFonts w:hint="eastAsia" w:ascii="仿宋_GB2312" w:hAnsi="仿宋" w:eastAsia="仿宋_GB2312"/>
          <w:sz w:val="30"/>
          <w:szCs w:val="30"/>
          <w:lang w:val="en-US" w:eastAsia="zh-CN"/>
        </w:rPr>
        <w:t>”修改为“</w:t>
      </w:r>
      <w:r>
        <w:rPr>
          <w:rFonts w:hint="eastAsia" w:ascii="仿宋_GB2312" w:hAnsi="仿宋" w:eastAsia="仿宋_GB2312"/>
          <w:sz w:val="30"/>
          <w:szCs w:val="30"/>
        </w:rPr>
        <w:t>做好长期护理保险</w:t>
      </w:r>
      <w:r>
        <w:rPr>
          <w:rFonts w:hint="eastAsia" w:ascii="仿宋_GB2312" w:hAnsi="仿宋" w:eastAsia="仿宋_GB2312"/>
          <w:sz w:val="30"/>
          <w:szCs w:val="30"/>
          <w:lang w:eastAsia="zh-CN"/>
        </w:rPr>
        <w:t>相关资金保障</w:t>
      </w:r>
      <w:r>
        <w:rPr>
          <w:rFonts w:hint="eastAsia" w:ascii="仿宋_GB2312" w:hAnsi="仿宋" w:eastAsia="仿宋_GB2312"/>
          <w:sz w:val="30"/>
          <w:szCs w:val="30"/>
        </w:rPr>
        <w:t>工作</w:t>
      </w:r>
      <w:r>
        <w:rPr>
          <w:rFonts w:hint="eastAsia" w:ascii="仿宋_GB2312" w:hAnsi="仿宋" w:eastAsia="仿宋_GB2312"/>
          <w:sz w:val="30"/>
          <w:szCs w:val="30"/>
          <w:lang w:val="en-US" w:eastAsia="zh-CN"/>
        </w:rPr>
        <w:t>”。</w:t>
      </w:r>
    </w:p>
    <w:p w14:paraId="6D3A70DC">
      <w:pPr>
        <w:ind w:firstLine="600" w:firstLineChars="200"/>
        <w:rPr>
          <w:rFonts w:hint="eastAsia" w:ascii="仿宋_GB2312" w:hAnsi="仿宋" w:eastAsia="仿宋_GB2312"/>
          <w:sz w:val="30"/>
          <w:szCs w:val="30"/>
          <w:lang w:eastAsia="zh-CN"/>
        </w:rPr>
      </w:pPr>
      <w:r>
        <w:rPr>
          <w:rFonts w:hint="eastAsia" w:ascii="仿宋_GB2312" w:hAnsi="仿宋" w:eastAsia="仿宋_GB2312"/>
          <w:sz w:val="30"/>
          <w:szCs w:val="30"/>
          <w:lang w:val="en-US" w:eastAsia="zh-CN"/>
        </w:rPr>
        <w:t>7</w:t>
      </w:r>
      <w:r>
        <w:rPr>
          <w:rFonts w:hint="eastAsia" w:ascii="仿宋_GB2312" w:hAnsi="仿宋" w:eastAsia="仿宋_GB2312"/>
          <w:sz w:val="30"/>
          <w:szCs w:val="30"/>
          <w:lang w:eastAsia="zh-CN"/>
        </w:rPr>
        <w:t>、文件有效期调整。文件有效期调整为：“自202</w:t>
      </w:r>
      <w:r>
        <w:rPr>
          <w:rFonts w:hint="eastAsia" w:ascii="仿宋_GB2312" w:hAnsi="仿宋" w:eastAsia="仿宋_GB2312"/>
          <w:sz w:val="30"/>
          <w:szCs w:val="30"/>
          <w:lang w:val="en-US" w:eastAsia="zh-CN"/>
        </w:rPr>
        <w:t>6</w:t>
      </w:r>
      <w:r>
        <w:rPr>
          <w:rFonts w:hint="eastAsia" w:ascii="仿宋_GB2312" w:hAnsi="仿宋" w:eastAsia="仿宋_GB2312"/>
          <w:sz w:val="30"/>
          <w:szCs w:val="30"/>
          <w:lang w:eastAsia="zh-CN"/>
        </w:rPr>
        <w:t>年1月1日起实施，有效期至202</w:t>
      </w:r>
      <w:r>
        <w:rPr>
          <w:rFonts w:hint="eastAsia" w:ascii="仿宋_GB2312" w:hAnsi="仿宋" w:eastAsia="仿宋_GB2312"/>
          <w:sz w:val="30"/>
          <w:szCs w:val="30"/>
          <w:lang w:val="en-US" w:eastAsia="zh-CN"/>
        </w:rPr>
        <w:t>7</w:t>
      </w:r>
      <w:r>
        <w:rPr>
          <w:rFonts w:hint="eastAsia" w:ascii="仿宋_GB2312" w:hAnsi="仿宋" w:eastAsia="仿宋_GB2312"/>
          <w:sz w:val="30"/>
          <w:szCs w:val="30"/>
          <w:lang w:eastAsia="zh-CN"/>
        </w:rPr>
        <w:t>年12月31日”。</w:t>
      </w:r>
    </w:p>
    <w:p w14:paraId="05ECCA15">
      <w:pPr>
        <w:ind w:firstLine="600" w:firstLineChars="200"/>
        <w:rPr>
          <w:rFonts w:hint="default" w:ascii="仿宋_GB2312" w:hAnsi="仿宋" w:eastAsia="仿宋_GB2312"/>
          <w:sz w:val="30"/>
          <w:szCs w:val="30"/>
          <w:lang w:val="en-US" w:eastAsia="zh-CN"/>
        </w:rPr>
      </w:pPr>
      <w:r>
        <w:rPr>
          <w:rFonts w:hint="eastAsia" w:ascii="仿宋_GB2312" w:hAnsi="仿宋" w:eastAsia="仿宋_GB2312"/>
          <w:sz w:val="30"/>
          <w:szCs w:val="30"/>
          <w:lang w:val="en-US" w:eastAsia="zh-CN"/>
        </w:rPr>
        <w:t>8</w:t>
      </w:r>
      <w:r>
        <w:rPr>
          <w:rFonts w:hint="eastAsia" w:ascii="仿宋_GB2312" w:hAnsi="仿宋" w:eastAsia="仿宋_GB2312"/>
          <w:sz w:val="30"/>
          <w:szCs w:val="30"/>
          <w:lang w:eastAsia="zh-CN"/>
        </w:rPr>
        <w:t>、删除原文件附件</w:t>
      </w:r>
      <w:r>
        <w:rPr>
          <w:rFonts w:hint="eastAsia" w:ascii="仿宋_GB2312" w:hAnsi="仿宋" w:eastAsia="仿宋_GB2312"/>
          <w:sz w:val="30"/>
          <w:szCs w:val="30"/>
          <w:lang w:val="en-US" w:eastAsia="zh-CN"/>
        </w:rPr>
        <w:t>1《</w:t>
      </w:r>
      <w:r>
        <w:rPr>
          <w:rFonts w:hint="eastAsia" w:ascii="仿宋_GB2312" w:hAnsi="仿宋" w:eastAsia="仿宋_GB2312"/>
          <w:sz w:val="30"/>
          <w:szCs w:val="30"/>
          <w:lang w:eastAsia="zh-CN"/>
        </w:rPr>
        <w:t>嘉定区老年照护统一需求评估管理办法</w:t>
      </w:r>
      <w:r>
        <w:rPr>
          <w:rFonts w:hint="eastAsia" w:ascii="仿宋_GB2312" w:hAnsi="仿宋" w:eastAsia="仿宋_GB2312"/>
          <w:sz w:val="30"/>
          <w:szCs w:val="30"/>
          <w:lang w:val="en-US" w:eastAsia="zh-CN"/>
        </w:rPr>
        <w:t>》，按市有关规定执行；删除原文件附件2《</w:t>
      </w:r>
      <w:r>
        <w:rPr>
          <w:rFonts w:hint="eastAsia" w:ascii="仿宋_GB2312" w:hAnsi="仿宋" w:eastAsia="仿宋_GB2312"/>
          <w:sz w:val="30"/>
          <w:szCs w:val="30"/>
          <w:lang w:eastAsia="zh-CN"/>
        </w:rPr>
        <w:t>嘉定区长期护理保险试点工作领导小组成员单位职责</w:t>
      </w:r>
      <w:r>
        <w:rPr>
          <w:rFonts w:hint="eastAsia" w:ascii="仿宋_GB2312" w:hAnsi="仿宋" w:eastAsia="仿宋_GB2312"/>
          <w:sz w:val="30"/>
          <w:szCs w:val="30"/>
          <w:lang w:val="en-US" w:eastAsia="zh-CN"/>
        </w:rPr>
        <w:t>》，该领导小组已被清理。</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878791"/>
      <w:docPartObj>
        <w:docPartGallery w:val="autotext"/>
      </w:docPartObj>
    </w:sdtPr>
    <w:sdtContent>
      <w:p w14:paraId="33F4B2D9">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268F102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267"/>
    <w:rsid w:val="00241CFF"/>
    <w:rsid w:val="006C4267"/>
    <w:rsid w:val="00862927"/>
    <w:rsid w:val="0090110D"/>
    <w:rsid w:val="0096488C"/>
    <w:rsid w:val="00B348AB"/>
    <w:rsid w:val="00C0390F"/>
    <w:rsid w:val="00C21F90"/>
    <w:rsid w:val="0B8003C6"/>
    <w:rsid w:val="12DF2B84"/>
    <w:rsid w:val="74832ACB"/>
    <w:rsid w:val="7F144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3</Pages>
  <Words>1343</Words>
  <Characters>1379</Characters>
  <Lines>9</Lines>
  <Paragraphs>2</Paragraphs>
  <TotalTime>1</TotalTime>
  <ScaleCrop>false</ScaleCrop>
  <LinksUpToDate>false</LinksUpToDate>
  <CharactersWithSpaces>1379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2021-12-07T00:29:00Z</dcterms:created>
  <dc:creator>Windows User</dc:creator>
  <cp:lastModifiedBy>冬冬</cp:lastModifiedBy>
  <dcterms:modified xsi:type="dcterms:W3CDTF">2025-10-24T02:54:09Z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eyJoZGlkIjoiNWNjOGQyMzQyZTdhZTJkZWJmZjZjMjc2ODVlNjJmMjAiLCJ1c2VySWQiOiI5MDU3Mzk4MTQifQ==</vt:lpwstr>
  </property>
  <property fmtid="{D5CDD505-2E9C-101B-9397-08002B2CF9AE}" pid="3" name="KSOProductBuildVer">
    <vt:lpwstr>2052-12.1.0.23125</vt:lpwstr>
  </property>
  <property fmtid="{D5CDD505-2E9C-101B-9397-08002B2CF9AE}" pid="4" name="ICV">
    <vt:lpwstr>CB7C4F00CC8848C3AD7A1E7B54A1D749_13</vt:lpwstr>
  </property>
</Properties>
</file>