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ascii="Times New Roman" w:hAnsi="Times New Roman" w:eastAsia="仿宋_GB2312"/>
          <w:sz w:val="44"/>
          <w:szCs w:val="44"/>
        </w:rPr>
      </w:pPr>
      <w:r>
        <w:rPr>
          <w:rFonts w:hint="eastAsia" w:ascii="方正小标宋简体" w:hAnsi="方正小标宋简体" w:eastAsia="方正小标宋简体" w:cs="方正小标宋简体"/>
          <w:bCs/>
          <w:color w:val="auto"/>
          <w:sz w:val="44"/>
          <w:szCs w:val="44"/>
        </w:rPr>
        <w:t>嘉定区关于</w:t>
      </w:r>
      <w:r>
        <w:rPr>
          <w:rFonts w:hint="eastAsia" w:ascii="方正小标宋简体" w:hAnsi="方正小标宋简体" w:eastAsia="方正小标宋简体" w:cs="方正小标宋简体"/>
          <w:bCs/>
          <w:color w:val="auto"/>
          <w:sz w:val="44"/>
          <w:szCs w:val="44"/>
          <w:lang w:val="en-US" w:eastAsia="zh-CN"/>
        </w:rPr>
        <w:t>支持企业高质量发展</w:t>
      </w:r>
      <w:r>
        <w:rPr>
          <w:rFonts w:hint="eastAsia" w:ascii="方正小标宋简体" w:hAnsi="方正小标宋简体" w:eastAsia="方正小标宋简体" w:cs="方正小标宋简体"/>
          <w:bCs/>
          <w:color w:val="auto"/>
          <w:sz w:val="44"/>
          <w:szCs w:val="44"/>
        </w:rPr>
        <w:t>的</w:t>
      </w:r>
      <w:r>
        <w:rPr>
          <w:rFonts w:hint="eastAsia" w:ascii="方正小标宋简体" w:hAnsi="方正小标宋简体" w:eastAsia="方正小标宋简体" w:cs="方正小标宋简体"/>
          <w:bCs/>
          <w:color w:val="auto"/>
          <w:sz w:val="44"/>
          <w:szCs w:val="44"/>
          <w:lang w:val="en-US" w:eastAsia="zh-CN"/>
        </w:rPr>
        <w:t>若干意见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华文楷体" w:hAnsi="华文楷体" w:eastAsia="华文楷体" w:cs="华文楷体"/>
          <w:color w:val="auto"/>
          <w:kern w:val="0"/>
          <w:sz w:val="32"/>
          <w:szCs w:val="32"/>
          <w:lang w:val="en-US" w:eastAsia="zh-CN" w:bidi="ar-SA"/>
        </w:rPr>
      </w:pPr>
      <w:r>
        <w:rPr>
          <w:rFonts w:hint="eastAsia" w:ascii="华文楷体" w:hAnsi="华文楷体" w:eastAsia="华文楷体" w:cs="华文楷体"/>
          <w:color w:val="auto"/>
          <w:kern w:val="0"/>
          <w:sz w:val="32"/>
          <w:szCs w:val="32"/>
          <w:lang w:val="en-US" w:eastAsia="zh-CN" w:bidi="ar-SA"/>
        </w:rPr>
        <w:t>（草案</w:t>
      </w:r>
      <w:bookmarkStart w:id="0" w:name="_GoBack"/>
      <w:bookmarkEnd w:id="0"/>
      <w:r>
        <w:rPr>
          <w:rFonts w:hint="eastAsia" w:ascii="华文楷体" w:hAnsi="华文楷体" w:eastAsia="华文楷体" w:cs="华文楷体"/>
          <w:color w:val="auto"/>
          <w:kern w:val="0"/>
          <w:sz w:val="32"/>
          <w:szCs w:val="32"/>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为深入贯彻落实习近平总书记考察上海重要讲话精神，完整、准确、全面贯彻新发展理念，提升招商引资质量，强化高端产业引领，切实优化企业服务，加快实现质量、效率、动力“三大变革”，</w:t>
      </w:r>
      <w:r>
        <w:rPr>
          <w:rFonts w:hint="eastAsia" w:ascii="仿宋_GB2312" w:hAnsi="仿宋_GB2312" w:eastAsia="仿宋_GB2312" w:cs="仿宋_GB2312"/>
          <w:color w:val="auto"/>
          <w:sz w:val="32"/>
          <w:szCs w:val="32"/>
          <w:lang w:val="en-US" w:eastAsia="zh-CN"/>
        </w:rPr>
        <w:t>形成“广覆盖+抓重点”的政策保障体系，</w:t>
      </w:r>
      <w:r>
        <w:rPr>
          <w:rFonts w:hint="eastAsia" w:ascii="仿宋_GB2312" w:hAnsi="仿宋_GB2312" w:eastAsia="仿宋_GB2312" w:cs="仿宋_GB2312"/>
          <w:color w:val="auto"/>
          <w:sz w:val="32"/>
          <w:szCs w:val="32"/>
        </w:rPr>
        <w:t>推动我区</w:t>
      </w:r>
      <w:r>
        <w:rPr>
          <w:rFonts w:hint="eastAsia" w:ascii="仿宋_GB2312" w:hAnsi="Times New Roman" w:eastAsia="仿宋_GB2312" w:cs="Times New Roman"/>
          <w:color w:val="auto"/>
          <w:kern w:val="2"/>
          <w:sz w:val="32"/>
          <w:szCs w:val="32"/>
          <w:lang w:val="en-US" w:eastAsia="zh-CN" w:bidi="ar-SA"/>
        </w:rPr>
        <w:t>产业</w:t>
      </w:r>
      <w:r>
        <w:rPr>
          <w:rFonts w:hint="eastAsia" w:ascii="仿宋_GB2312" w:hAnsi="仿宋_GB2312" w:eastAsia="仿宋_GB2312" w:cs="仿宋_GB2312"/>
          <w:color w:val="auto"/>
          <w:sz w:val="32"/>
          <w:szCs w:val="32"/>
        </w:rPr>
        <w:t>更高质量发展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加快形成新质生产力</w:t>
      </w:r>
      <w:r>
        <w:rPr>
          <w:rFonts w:hint="eastAsia" w:ascii="仿宋_GB2312" w:hAnsi="仿宋_GB2312" w:eastAsia="仿宋_GB2312" w:cs="仿宋_GB2312"/>
          <w:color w:val="auto"/>
          <w:sz w:val="32"/>
          <w:szCs w:val="32"/>
        </w:rPr>
        <w:t>。结合本区实际，特制定以下意见。</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一、鼓励企业规模提升</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eastAsia" w:ascii="仿宋_GB2312" w:eastAsia="仿宋_GB2312" w:cs="Times New Roman"/>
          <w:b/>
          <w:bCs/>
          <w:color w:val="auto"/>
          <w:sz w:val="32"/>
          <w:szCs w:val="32"/>
          <w:lang w:val="en-US" w:eastAsia="zh-CN"/>
        </w:rPr>
        <w:t>1.加快产业规模提升。</w:t>
      </w:r>
      <w:r>
        <w:rPr>
          <w:rFonts w:hint="eastAsia" w:ascii="仿宋_GB2312" w:hAnsi="Times New Roman" w:eastAsia="仿宋_GB2312" w:cs="Times New Roman"/>
          <w:color w:val="auto"/>
          <w:kern w:val="2"/>
          <w:sz w:val="32"/>
          <w:szCs w:val="32"/>
          <w:lang w:val="en-US" w:eastAsia="zh-CN" w:bidi="ar-SA"/>
        </w:rPr>
        <w:t>支持</w:t>
      </w:r>
      <w:r>
        <w:rPr>
          <w:rFonts w:hint="eastAsia" w:ascii="仿宋_GB2312" w:eastAsia="仿宋_GB2312" w:cs="Times New Roman"/>
          <w:color w:val="auto"/>
          <w:kern w:val="2"/>
          <w:sz w:val="32"/>
          <w:szCs w:val="32"/>
          <w:lang w:val="en-US" w:eastAsia="zh-CN" w:bidi="ar-SA"/>
        </w:rPr>
        <w:t>区内重点</w:t>
      </w:r>
      <w:r>
        <w:rPr>
          <w:rFonts w:hint="eastAsia" w:ascii="仿宋_GB2312" w:hAnsi="Times New Roman" w:eastAsia="仿宋_GB2312" w:cs="Times New Roman"/>
          <w:color w:val="auto"/>
          <w:kern w:val="2"/>
          <w:sz w:val="32"/>
          <w:szCs w:val="32"/>
          <w:lang w:val="en-US" w:eastAsia="zh-CN" w:bidi="ar-SA"/>
        </w:rPr>
        <w:t>产业、细分赛道产业、未来产业以及相关产业领域的</w:t>
      </w:r>
      <w:r>
        <w:rPr>
          <w:rFonts w:hint="eastAsia" w:ascii="仿宋_GB2312" w:hAnsi="仿宋_GB2312" w:eastAsia="仿宋_GB2312" w:cs="仿宋_GB2312"/>
          <w:color w:val="auto"/>
          <w:sz w:val="32"/>
          <w:szCs w:val="32"/>
        </w:rPr>
        <w:t>企业</w:t>
      </w:r>
      <w:r>
        <w:rPr>
          <w:rFonts w:hint="eastAsia" w:ascii="仿宋_GB2312" w:hAnsi="Times New Roman" w:eastAsia="仿宋_GB2312" w:cs="Times New Roman"/>
          <w:color w:val="auto"/>
          <w:kern w:val="2"/>
          <w:sz w:val="32"/>
          <w:szCs w:val="32"/>
          <w:lang w:val="en-US" w:eastAsia="zh-CN" w:bidi="ar-SA"/>
        </w:rPr>
        <w:t>扩大规模、加快集聚，</w:t>
      </w:r>
      <w:r>
        <w:rPr>
          <w:rFonts w:hint="eastAsia" w:ascii="仿宋_GB2312" w:eastAsia="仿宋_GB2312"/>
          <w:color w:val="auto"/>
          <w:sz w:val="32"/>
          <w:szCs w:val="32"/>
        </w:rPr>
        <w:t>对于生产、销售、投资等达到一定规模的，分层分类给予奖励。</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b/>
          <w:bCs/>
          <w:color w:val="auto"/>
          <w:sz w:val="32"/>
          <w:szCs w:val="32"/>
          <w:lang w:val="en-US" w:eastAsia="zh-CN"/>
        </w:rPr>
        <w:t>2.支持商业规模拓展。</w:t>
      </w:r>
      <w:r>
        <w:rPr>
          <w:rFonts w:hint="eastAsia" w:ascii="仿宋_GB2312" w:hAnsi="Times New Roman" w:eastAsia="仿宋_GB2312" w:cs="Times New Roman"/>
          <w:color w:val="auto"/>
          <w:kern w:val="2"/>
          <w:sz w:val="32"/>
          <w:szCs w:val="32"/>
          <w:lang w:val="en-US" w:eastAsia="zh-CN" w:bidi="ar-SA"/>
        </w:rPr>
        <w:t>鼓励</w:t>
      </w:r>
      <w:r>
        <w:rPr>
          <w:rFonts w:hint="eastAsia" w:ascii="仿宋_GB2312" w:eastAsia="仿宋_GB2312" w:cs="Times New Roman"/>
          <w:color w:val="auto"/>
          <w:kern w:val="2"/>
          <w:sz w:val="32"/>
          <w:szCs w:val="32"/>
          <w:lang w:val="en-US" w:eastAsia="zh-CN" w:bidi="ar-SA"/>
        </w:rPr>
        <w:t>区域商业能级提升，</w:t>
      </w:r>
      <w:r>
        <w:rPr>
          <w:rFonts w:hint="eastAsia" w:ascii="仿宋_GB2312" w:hAnsi="Times New Roman" w:eastAsia="仿宋_GB2312" w:cs="Times New Roman"/>
          <w:color w:val="auto"/>
          <w:kern w:val="2"/>
          <w:sz w:val="32"/>
          <w:szCs w:val="32"/>
          <w:lang w:val="en-US" w:eastAsia="zh-CN" w:bidi="ar-SA"/>
        </w:rPr>
        <w:t>支持商业企业在新技术、新模式、新业态上创新突破，</w:t>
      </w:r>
      <w:r>
        <w:rPr>
          <w:rFonts w:hint="eastAsia" w:ascii="仿宋_GB2312" w:eastAsia="仿宋_GB2312" w:cs="Times New Roman"/>
          <w:color w:val="auto"/>
          <w:kern w:val="2"/>
          <w:sz w:val="32"/>
          <w:szCs w:val="32"/>
          <w:lang w:val="en-US" w:eastAsia="zh-CN" w:bidi="ar-SA"/>
        </w:rPr>
        <w:t>对推动区域商业能级产生重要影响、实现创新突破的商业项目，可按一定比例给予奖励。</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textAlignment w:val="auto"/>
        <w:rPr>
          <w:rFonts w:hint="default"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bCs/>
          <w:color w:val="auto"/>
          <w:sz w:val="32"/>
          <w:szCs w:val="32"/>
          <w:lang w:val="en-US" w:eastAsia="zh-CN"/>
        </w:rPr>
        <w:t>3.鼓励企业升规提质。</w:t>
      </w:r>
      <w:r>
        <w:rPr>
          <w:rFonts w:hint="eastAsia" w:ascii="仿宋_GB2312" w:hAnsi="Times New Roman" w:eastAsia="仿宋_GB2312" w:cs="Times New Roman"/>
          <w:b w:val="0"/>
          <w:bCs w:val="0"/>
          <w:color w:val="auto"/>
          <w:sz w:val="32"/>
          <w:szCs w:val="32"/>
          <w:lang w:val="en-US" w:eastAsia="zh-CN"/>
        </w:rPr>
        <w:t>强化统计指导服务，围绕升规纳统持续更新完善“小升规”企业储备库，鼓励企业走“小升规”“规升强”进阶之路，对首次</w:t>
      </w:r>
      <w:r>
        <w:rPr>
          <w:rFonts w:hint="eastAsia" w:ascii="仿宋_GB2312" w:eastAsia="仿宋_GB2312" w:cs="Times New Roman"/>
          <w:b w:val="0"/>
          <w:bCs w:val="0"/>
          <w:color w:val="auto"/>
          <w:sz w:val="32"/>
          <w:szCs w:val="32"/>
          <w:lang w:val="en-US" w:eastAsia="zh-CN"/>
        </w:rPr>
        <w:t>升规纳统</w:t>
      </w:r>
      <w:r>
        <w:rPr>
          <w:rFonts w:hint="eastAsia" w:ascii="仿宋_GB2312" w:hAnsi="Times New Roman" w:eastAsia="仿宋_GB2312" w:cs="Times New Roman"/>
          <w:b w:val="0"/>
          <w:bCs w:val="0"/>
          <w:color w:val="auto"/>
          <w:sz w:val="32"/>
          <w:szCs w:val="32"/>
          <w:lang w:val="en-US" w:eastAsia="zh-CN"/>
        </w:rPr>
        <w:t>的企业可给予一定奖励。对当年保持高增长企业，</w:t>
      </w:r>
      <w:r>
        <w:rPr>
          <w:rFonts w:hint="eastAsia" w:ascii="仿宋_GB2312" w:eastAsia="仿宋_GB2312" w:cs="Times New Roman"/>
          <w:b w:val="0"/>
          <w:bCs w:val="0"/>
          <w:color w:val="auto"/>
          <w:sz w:val="32"/>
          <w:szCs w:val="32"/>
          <w:lang w:val="en-US" w:eastAsia="zh-CN"/>
        </w:rPr>
        <w:t>可给予一定奖励。</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二、支持企业加大投资</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b/>
          <w:bCs/>
          <w:color w:val="auto"/>
          <w:sz w:val="32"/>
          <w:szCs w:val="32"/>
          <w:lang w:val="en-US" w:eastAsia="zh-CN"/>
        </w:rPr>
        <w:t>4.加大项目投资支持。</w:t>
      </w:r>
      <w:r>
        <w:rPr>
          <w:rFonts w:hint="eastAsia" w:ascii="仿宋_GB2312" w:eastAsia="仿宋_GB2312" w:cs="Times New Roman"/>
          <w:color w:val="auto"/>
          <w:kern w:val="2"/>
          <w:sz w:val="32"/>
          <w:szCs w:val="32"/>
          <w:lang w:val="en-US" w:eastAsia="zh-CN" w:bidi="ar-SA"/>
        </w:rPr>
        <w:t>加快优质项目建设投产，在土地、资金、人才等方面给予全方位支持和保障，对强链补链项目，可根据固定投资强度和进度，给予一定奖励。</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textAlignment w:val="auto"/>
        <w:rPr>
          <w:rFonts w:hint="eastAsia" w:ascii="仿宋_GB2312" w:eastAsia="仿宋_GB2312" w:cs="Times New Roman"/>
          <w:b w:val="0"/>
          <w:bCs w:val="0"/>
          <w:color w:val="auto"/>
          <w:sz w:val="32"/>
          <w:szCs w:val="32"/>
          <w:highlight w:val="yellow"/>
          <w:lang w:val="en-US" w:eastAsia="zh-CN"/>
        </w:rPr>
      </w:pPr>
      <w:r>
        <w:rPr>
          <w:rFonts w:hint="eastAsia" w:ascii="仿宋_GB2312" w:eastAsia="仿宋_GB2312" w:cs="Times New Roman"/>
          <w:b/>
          <w:bCs/>
          <w:color w:val="auto"/>
          <w:kern w:val="2"/>
          <w:sz w:val="32"/>
          <w:szCs w:val="32"/>
          <w:lang w:val="en-US" w:eastAsia="zh-CN" w:bidi="ar-SA"/>
        </w:rPr>
        <w:t>5.支持企业高端化改造。</w:t>
      </w:r>
      <w:r>
        <w:rPr>
          <w:rFonts w:hint="eastAsia" w:ascii="仿宋_GB2312" w:eastAsia="仿宋_GB2312" w:cs="Times New Roman"/>
          <w:b w:val="0"/>
          <w:bCs w:val="0"/>
          <w:color w:val="auto"/>
          <w:sz w:val="32"/>
          <w:szCs w:val="32"/>
          <w:lang w:val="en-US" w:eastAsia="zh-CN"/>
        </w:rPr>
        <w:t>推进“零增地技改”，鼓励企业采用新技术、新设备、新工艺、新材料进行生产改造提升，加速技术迭代升级，对开展大规模设备更新改造的企业可按一定比例给予支持。</w:t>
      </w:r>
      <w:r>
        <w:rPr>
          <w:rFonts w:hint="eastAsia" w:ascii="仿宋_GB2312" w:eastAsia="仿宋_GB2312"/>
          <w:bCs/>
          <w:color w:val="000000" w:themeColor="text1"/>
          <w:sz w:val="32"/>
          <w:szCs w:val="32"/>
          <w14:textFill>
            <w14:solidFill>
              <w14:schemeClr w14:val="tx1"/>
            </w14:solidFill>
          </w14:textFill>
        </w:rPr>
        <w:t>支持企业淘汰老旧</w:t>
      </w:r>
      <w:r>
        <w:rPr>
          <w:rFonts w:ascii="仿宋_GB2312" w:eastAsia="仿宋_GB2312"/>
          <w:bCs/>
          <w:color w:val="000000" w:themeColor="text1"/>
          <w:sz w:val="32"/>
          <w:szCs w:val="32"/>
          <w14:textFill>
            <w14:solidFill>
              <w14:schemeClr w14:val="tx1"/>
            </w14:solidFill>
          </w14:textFill>
        </w:rPr>
        <w:t>设备，进行设备更新</w:t>
      </w:r>
      <w:r>
        <w:rPr>
          <w:rFonts w:hint="eastAsia" w:ascii="仿宋_GB2312" w:eastAsia="仿宋_GB2312"/>
          <w:bCs/>
          <w:color w:val="000000" w:themeColor="text1"/>
          <w:sz w:val="32"/>
          <w:szCs w:val="32"/>
          <w14:textFill>
            <w14:solidFill>
              <w14:schemeClr w14:val="tx1"/>
            </w14:solidFill>
          </w14:textFill>
        </w:rPr>
        <w:t>升级</w:t>
      </w:r>
      <w:r>
        <w:rPr>
          <w:rFonts w:ascii="仿宋_GB2312" w:eastAsia="仿宋_GB2312"/>
          <w:bCs/>
          <w:color w:val="000000" w:themeColor="text1"/>
          <w:sz w:val="32"/>
          <w:szCs w:val="32"/>
          <w14:textFill>
            <w14:solidFill>
              <w14:schemeClr w14:val="tx1"/>
            </w14:solidFill>
          </w14:textFill>
        </w:rPr>
        <w:t>，经综合评定，</w:t>
      </w:r>
      <w:r>
        <w:rPr>
          <w:rFonts w:hint="eastAsia" w:ascii="仿宋_GB2312" w:eastAsia="仿宋_GB2312"/>
          <w:bCs/>
          <w:color w:val="000000" w:themeColor="text1"/>
          <w:sz w:val="32"/>
          <w:szCs w:val="32"/>
          <w14:textFill>
            <w14:solidFill>
              <w14:schemeClr w14:val="tx1"/>
            </w14:solidFill>
          </w14:textFill>
        </w:rPr>
        <w:t>对</w:t>
      </w:r>
      <w:r>
        <w:rPr>
          <w:rFonts w:ascii="仿宋_GB2312" w:eastAsia="仿宋_GB2312"/>
          <w:bCs/>
          <w:color w:val="000000" w:themeColor="text1"/>
          <w:sz w:val="32"/>
          <w:szCs w:val="32"/>
          <w14:textFill>
            <w14:solidFill>
              <w14:schemeClr w14:val="tx1"/>
            </w14:solidFill>
          </w14:textFill>
        </w:rPr>
        <w:t>小规模或单件设备投资给予</w:t>
      </w:r>
      <w:r>
        <w:rPr>
          <w:rFonts w:hint="eastAsia" w:ascii="仿宋_GB2312" w:eastAsia="仿宋_GB2312"/>
          <w:bCs/>
          <w:color w:val="000000" w:themeColor="text1"/>
          <w:sz w:val="32"/>
          <w:szCs w:val="32"/>
          <w14:textFill>
            <w14:solidFill>
              <w14:schemeClr w14:val="tx1"/>
            </w14:solidFill>
          </w14:textFill>
        </w:rPr>
        <w:t>一定的资金支持</w:t>
      </w:r>
      <w:r>
        <w:rPr>
          <w:rFonts w:ascii="仿宋_GB2312" w:eastAsia="仿宋_GB2312"/>
          <w:bCs/>
          <w:color w:val="000000" w:themeColor="text1"/>
          <w:sz w:val="32"/>
          <w:szCs w:val="32"/>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textAlignment w:val="auto"/>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bCs/>
          <w:color w:val="auto"/>
          <w:kern w:val="2"/>
          <w:sz w:val="32"/>
          <w:szCs w:val="32"/>
          <w:highlight w:val="none"/>
          <w:lang w:val="en-US" w:eastAsia="zh-CN" w:bidi="ar-SA"/>
        </w:rPr>
        <w:t>6</w:t>
      </w:r>
      <w:r>
        <w:rPr>
          <w:rFonts w:hint="eastAsia" w:ascii="仿宋_GB2312" w:hAnsi="Times New Roman" w:eastAsia="仿宋_GB2312" w:cs="Times New Roman"/>
          <w:b/>
          <w:bCs/>
          <w:color w:val="auto"/>
          <w:kern w:val="2"/>
          <w:sz w:val="32"/>
          <w:szCs w:val="32"/>
          <w:highlight w:val="none"/>
          <w:lang w:val="en-US" w:eastAsia="zh-CN" w:bidi="ar-SA"/>
        </w:rPr>
        <w:t>.</w:t>
      </w:r>
      <w:r>
        <w:rPr>
          <w:rFonts w:hint="eastAsia" w:ascii="仿宋_GB2312" w:eastAsia="仿宋_GB2312" w:cs="Times New Roman"/>
          <w:b/>
          <w:bCs/>
          <w:color w:val="auto"/>
          <w:kern w:val="2"/>
          <w:sz w:val="32"/>
          <w:szCs w:val="32"/>
          <w:highlight w:val="none"/>
          <w:lang w:val="en-US" w:eastAsia="zh-CN" w:bidi="ar-SA"/>
        </w:rPr>
        <w:t>支持企业智能化发展。</w:t>
      </w:r>
      <w:r>
        <w:rPr>
          <w:rFonts w:hint="eastAsia" w:ascii="仿宋_GB2312" w:eastAsia="仿宋_GB2312" w:cs="Times New Roman"/>
          <w:b w:val="0"/>
          <w:bCs w:val="0"/>
          <w:color w:val="auto"/>
          <w:kern w:val="2"/>
          <w:sz w:val="32"/>
          <w:szCs w:val="32"/>
          <w:highlight w:val="none"/>
          <w:lang w:val="en-US" w:eastAsia="zh-CN" w:bidi="ar-SA"/>
        </w:rPr>
        <w:t>深入实施</w:t>
      </w:r>
      <w:r>
        <w:rPr>
          <w:rFonts w:hint="eastAsia" w:ascii="仿宋_GB2312" w:hAnsi="仿宋_GB2312" w:eastAsia="仿宋_GB2312" w:cs="仿宋_GB2312"/>
          <w:b w:val="0"/>
          <w:bCs w:val="0"/>
          <w:sz w:val="32"/>
          <w:szCs w:val="32"/>
          <w:highlight w:val="none"/>
          <w:lang w:val="en-US" w:eastAsia="zh-CN"/>
        </w:rPr>
        <w:t>“工赋链主”和智能工厂领航计划，</w:t>
      </w:r>
      <w:r>
        <w:rPr>
          <w:rFonts w:hint="eastAsia" w:ascii="仿宋_GB2312" w:eastAsia="仿宋_GB2312" w:cs="Times New Roman"/>
          <w:b w:val="0"/>
          <w:bCs w:val="0"/>
          <w:color w:val="auto"/>
          <w:sz w:val="32"/>
          <w:szCs w:val="32"/>
          <w:highlight w:val="none"/>
          <w:lang w:val="en-US" w:eastAsia="zh-CN"/>
        </w:rPr>
        <w:t>鼓励企业提升数据管理、数智化、数字服务供给等方面能力，对积极开展“智改数转”、算力使用等项目的企业可按一定比例给予支持。</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cs="Times New Roman"/>
          <w:b/>
          <w:bCs/>
          <w:color w:val="auto"/>
          <w:kern w:val="2"/>
          <w:sz w:val="32"/>
          <w:szCs w:val="32"/>
          <w:lang w:val="en-US" w:eastAsia="zh-CN" w:bidi="ar-SA"/>
        </w:rPr>
        <w:t>7.</w:t>
      </w:r>
      <w:r>
        <w:rPr>
          <w:rFonts w:hint="eastAsia" w:ascii="仿宋_GB2312" w:hAnsi="Times New Roman" w:eastAsia="仿宋_GB2312" w:cs="Times New Roman"/>
          <w:b/>
          <w:bCs/>
          <w:color w:val="auto"/>
          <w:kern w:val="2"/>
          <w:sz w:val="32"/>
          <w:szCs w:val="32"/>
          <w:lang w:val="en-US" w:eastAsia="zh-CN" w:bidi="ar-SA"/>
        </w:rPr>
        <w:t>支持企业绿色化转型。</w:t>
      </w:r>
      <w:r>
        <w:rPr>
          <w:rFonts w:hint="eastAsia" w:ascii="仿宋_GB2312" w:hAnsi="仿宋_GB2312" w:eastAsia="仿宋_GB2312" w:cs="仿宋_GB2312"/>
          <w:sz w:val="32"/>
          <w:szCs w:val="32"/>
          <w:lang w:val="en-US" w:eastAsia="zh-CN"/>
        </w:rPr>
        <w:t>聚焦制造业节能降碳，鼓励企业开展节能技术改造、绿色制造体系建设及零碳创建示范、清洁生产审核，对开展</w:t>
      </w:r>
      <w:r>
        <w:rPr>
          <w:rFonts w:hint="eastAsia" w:ascii="仿宋_GB2312" w:hAnsi="仿宋_GB2312" w:eastAsia="仿宋_GB2312" w:cs="仿宋_GB2312"/>
          <w:b w:val="0"/>
          <w:bCs w:val="0"/>
          <w:sz w:val="32"/>
          <w:szCs w:val="32"/>
          <w:lang w:val="en-US" w:eastAsia="zh-CN"/>
        </w:rPr>
        <w:t>绿色工厂、绿色园区、绿色供应链、零碳工厂等绿色化转型工作的企业可按一定比例给予支持或奖励。</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cs="Times New Roman"/>
          <w:b/>
          <w:bCs/>
          <w:color w:val="auto"/>
          <w:sz w:val="32"/>
          <w:szCs w:val="32"/>
          <w:lang w:val="en-US" w:eastAsia="zh-CN"/>
        </w:rPr>
        <w:t>8</w:t>
      </w:r>
      <w:r>
        <w:rPr>
          <w:rFonts w:hint="eastAsia" w:ascii="仿宋_GB2312" w:hAnsi="Times New Roman" w:eastAsia="仿宋_GB2312" w:cs="Times New Roman"/>
          <w:b/>
          <w:bCs/>
          <w:color w:val="auto"/>
          <w:sz w:val="32"/>
          <w:szCs w:val="32"/>
          <w:lang w:val="en-US" w:eastAsia="zh-CN"/>
        </w:rPr>
        <w:t>.推进存量用地转型。</w:t>
      </w:r>
      <w:r>
        <w:rPr>
          <w:rFonts w:hint="eastAsia" w:ascii="仿宋_GB2312" w:hAnsi="仿宋_GB2312" w:eastAsia="仿宋_GB2312" w:cs="仿宋_GB2312"/>
          <w:b w:val="0"/>
          <w:bCs w:val="0"/>
          <w:sz w:val="32"/>
          <w:szCs w:val="32"/>
          <w:lang w:val="en-US" w:eastAsia="zh-CN"/>
        </w:rPr>
        <w:t>鼓励和支持各类市场主体采取收储招拍引进、多元合作转型、收购升级等方式进行存量用地二次开发，对推进存量用地转型的项目给予一定奖励。支持工业上楼，对列入市级“智造空间”的优质项目，给予相应奖励。</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cs="Times New Roman"/>
          <w:b/>
          <w:bCs/>
          <w:color w:val="auto"/>
          <w:kern w:val="2"/>
          <w:sz w:val="32"/>
          <w:szCs w:val="32"/>
          <w:lang w:val="en-US" w:eastAsia="zh-CN" w:bidi="ar-SA"/>
        </w:rPr>
        <w:t>9</w:t>
      </w:r>
      <w:r>
        <w:rPr>
          <w:rFonts w:hint="eastAsia" w:ascii="仿宋_GB2312" w:hAnsi="Times New Roman" w:eastAsia="仿宋_GB2312" w:cs="Times New Roman"/>
          <w:b/>
          <w:bCs/>
          <w:color w:val="auto"/>
          <w:kern w:val="2"/>
          <w:sz w:val="32"/>
          <w:szCs w:val="32"/>
          <w:lang w:val="en-US" w:eastAsia="zh-CN" w:bidi="ar-SA"/>
        </w:rPr>
        <w:t>.鼓励</w:t>
      </w:r>
      <w:r>
        <w:rPr>
          <w:rFonts w:hint="eastAsia" w:ascii="仿宋_GB2312" w:eastAsia="仿宋_GB2312" w:cs="Times New Roman"/>
          <w:b/>
          <w:bCs/>
          <w:color w:val="auto"/>
          <w:kern w:val="2"/>
          <w:sz w:val="32"/>
          <w:szCs w:val="32"/>
          <w:lang w:val="en-US" w:eastAsia="zh-CN" w:bidi="ar-SA"/>
        </w:rPr>
        <w:t>对外开放合作</w:t>
      </w:r>
      <w:r>
        <w:rPr>
          <w:rFonts w:hint="eastAsia" w:ascii="仿宋_GB2312" w:hAnsi="Times New Roman" w:eastAsia="仿宋_GB2312" w:cs="Times New Roman"/>
          <w:b/>
          <w:bCs/>
          <w:color w:val="auto"/>
          <w:kern w:val="2"/>
          <w:sz w:val="32"/>
          <w:szCs w:val="32"/>
          <w:lang w:val="en-US" w:eastAsia="zh-CN" w:bidi="ar-SA"/>
        </w:rPr>
        <w:t>。</w:t>
      </w:r>
      <w:r>
        <w:rPr>
          <w:rFonts w:hint="eastAsia" w:ascii="仿宋_GB2312" w:hAnsi="Times New Roman" w:eastAsia="仿宋_GB2312" w:cs="Times New Roman"/>
          <w:b w:val="0"/>
          <w:bCs w:val="0"/>
          <w:color w:val="auto"/>
          <w:kern w:val="2"/>
          <w:sz w:val="32"/>
          <w:szCs w:val="32"/>
          <w:lang w:val="en-US" w:eastAsia="zh-CN" w:bidi="ar-SA"/>
        </w:rPr>
        <w:t>推动内外资融合发展，加大利用外资，鼓励新设外资企业和存量外资企业增资，支持创建跨国公司地区总部、外资研发中心等</w:t>
      </w:r>
      <w:r>
        <w:rPr>
          <w:rFonts w:hint="eastAsia" w:ascii="仿宋_GB2312" w:eastAsia="仿宋_GB2312" w:cs="Times New Roman"/>
          <w:b w:val="0"/>
          <w:bCs w:val="0"/>
          <w:color w:val="auto"/>
          <w:kern w:val="2"/>
          <w:sz w:val="32"/>
          <w:szCs w:val="32"/>
          <w:lang w:val="en-US" w:eastAsia="zh-CN" w:bidi="ar-SA"/>
        </w:rPr>
        <w:t>，可根据外资到位情况等综合评定，给予一定奖励。</w:t>
      </w:r>
      <w:r>
        <w:rPr>
          <w:rFonts w:hint="eastAsia" w:ascii="仿宋_GB2312" w:eastAsia="仿宋_GB2312"/>
          <w:color w:val="auto"/>
          <w:sz w:val="32"/>
          <w:szCs w:val="32"/>
          <w:lang w:eastAsia="zh-CN"/>
        </w:rPr>
        <w:t>鼓励外贸新业态新模式发展，支持跨境电商等电子商务平台建设。</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三、鼓励企业能级提升</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eastAsia" w:ascii="仿宋_GB2312" w:hAnsi="Calibri" w:eastAsia="仿宋_GB2312" w:cs="宋体"/>
          <w:b w:val="0"/>
          <w:bCs w:val="0"/>
          <w:color w:val="auto"/>
          <w:kern w:val="0"/>
          <w:sz w:val="32"/>
          <w:szCs w:val="32"/>
          <w:lang w:val="en-US" w:eastAsia="zh-CN" w:bidi="ar-SA"/>
        </w:rPr>
      </w:pPr>
      <w:r>
        <w:rPr>
          <w:rFonts w:hint="eastAsia" w:ascii="仿宋_GB2312" w:eastAsia="仿宋_GB2312" w:cs="Times New Roman"/>
          <w:b/>
          <w:bCs/>
          <w:color w:val="auto"/>
          <w:kern w:val="2"/>
          <w:sz w:val="32"/>
          <w:szCs w:val="32"/>
          <w:lang w:val="en-US" w:eastAsia="zh-CN" w:bidi="ar-SA"/>
        </w:rPr>
        <w:t>10</w:t>
      </w:r>
      <w:r>
        <w:rPr>
          <w:rFonts w:hint="eastAsia" w:ascii="仿宋_GB2312" w:hAnsi="Times New Roman" w:eastAsia="仿宋_GB2312" w:cs="Times New Roman"/>
          <w:b/>
          <w:bCs/>
          <w:color w:val="auto"/>
          <w:kern w:val="2"/>
          <w:sz w:val="32"/>
          <w:szCs w:val="32"/>
          <w:lang w:val="en-US" w:eastAsia="zh-CN" w:bidi="ar-SA"/>
        </w:rPr>
        <w:t>.支持企业专精特新发展。</w:t>
      </w:r>
      <w:r>
        <w:rPr>
          <w:rFonts w:hint="eastAsia" w:ascii="仿宋_GB2312" w:eastAsia="仿宋_GB2312"/>
          <w:b w:val="0"/>
          <w:bCs w:val="0"/>
          <w:sz w:val="32"/>
          <w:szCs w:val="32"/>
          <w:lang w:val="en-US" w:eastAsia="zh-CN"/>
        </w:rPr>
        <w:t>鼓励企业设立技术中心、走“专</w:t>
      </w:r>
      <w:r>
        <w:rPr>
          <w:rFonts w:hint="eastAsia" w:ascii="仿宋_GB2312" w:hAnsi="Times New Roman" w:eastAsia="仿宋_GB2312" w:cs="Times New Roman"/>
          <w:b w:val="0"/>
          <w:bCs w:val="0"/>
          <w:color w:val="auto"/>
          <w:kern w:val="2"/>
          <w:sz w:val="32"/>
          <w:szCs w:val="32"/>
          <w:lang w:val="en-US" w:eastAsia="zh-CN" w:bidi="ar-SA"/>
        </w:rPr>
        <w:t>精特新”、制造业单项冠军等高质量发</w:t>
      </w:r>
      <w:r>
        <w:rPr>
          <w:rFonts w:hint="eastAsia" w:ascii="仿宋_GB2312" w:eastAsia="仿宋_GB2312"/>
          <w:b w:val="0"/>
          <w:bCs w:val="0"/>
          <w:sz w:val="32"/>
          <w:szCs w:val="32"/>
          <w:lang w:val="en-US" w:eastAsia="zh-CN"/>
        </w:rPr>
        <w:t>展道路，</w:t>
      </w:r>
      <w:r>
        <w:rPr>
          <w:rFonts w:hint="eastAsia" w:ascii="仿宋_GB2312" w:hAnsi="Calibri" w:eastAsia="仿宋_GB2312" w:cs="宋体"/>
          <w:b w:val="0"/>
          <w:bCs w:val="0"/>
          <w:color w:val="auto"/>
          <w:kern w:val="0"/>
          <w:sz w:val="32"/>
          <w:szCs w:val="32"/>
          <w:lang w:val="en-US" w:eastAsia="zh-CN" w:bidi="ar-SA"/>
        </w:rPr>
        <w:t>对获得国家级、市级、区级各类资质认定或荣誉称号的企业，经认定的</w:t>
      </w:r>
      <w:r>
        <w:rPr>
          <w:rFonts w:hint="eastAsia" w:ascii="仿宋_GB2312" w:hAnsi="Times New Roman" w:eastAsia="仿宋_GB2312" w:cs="Times New Roman"/>
          <w:b w:val="0"/>
          <w:bCs w:val="0"/>
          <w:color w:val="auto"/>
          <w:kern w:val="2"/>
          <w:sz w:val="32"/>
          <w:szCs w:val="32"/>
          <w:lang w:val="en-US" w:eastAsia="zh-CN" w:bidi="ar-SA"/>
        </w:rPr>
        <w:t>总部（型）企业</w:t>
      </w:r>
      <w:r>
        <w:rPr>
          <w:rFonts w:hint="eastAsia" w:ascii="仿宋_GB2312" w:hAnsi="Calibri" w:eastAsia="仿宋_GB2312" w:cs="宋体"/>
          <w:b w:val="0"/>
          <w:bCs w:val="0"/>
          <w:color w:val="auto"/>
          <w:kern w:val="0"/>
          <w:sz w:val="32"/>
          <w:szCs w:val="32"/>
          <w:lang w:val="en-US" w:eastAsia="zh-CN" w:bidi="ar-SA"/>
        </w:rPr>
        <w:t>，企业技术中心、技术创新中心等各类创新研发机构，高新技术企业、科技小巨人企业等各类科技企业，以及其他经认定的符合产业发展导向的企业，给予一定奖励。</w:t>
      </w:r>
    </w:p>
    <w:p>
      <w:pPr>
        <w:pStyle w:val="12"/>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right="0" w:firstLine="640" w:firstLineChars="200"/>
        <w:jc w:val="both"/>
        <w:textAlignment w:val="auto"/>
        <w:rPr>
          <w:rFonts w:hint="eastAsia" w:ascii="仿宋_GB2312" w:hAnsi="Calibri" w:eastAsia="仿宋_GB2312"/>
          <w:color w:val="auto"/>
          <w:sz w:val="32"/>
          <w:szCs w:val="32"/>
        </w:rPr>
      </w:pPr>
      <w:r>
        <w:rPr>
          <w:rFonts w:hint="eastAsia" w:ascii="仿宋_GB2312" w:hAnsi="Calibri" w:eastAsia="仿宋_GB2312" w:cs="宋体"/>
          <w:b/>
          <w:bCs/>
          <w:color w:val="auto"/>
          <w:kern w:val="0"/>
          <w:sz w:val="32"/>
          <w:szCs w:val="32"/>
          <w:lang w:val="en-US" w:eastAsia="zh-CN" w:bidi="ar-SA"/>
        </w:rPr>
        <w:t>11.鼓励拓展示范应用。</w:t>
      </w:r>
      <w:r>
        <w:rPr>
          <w:rFonts w:hint="eastAsia" w:ascii="仿宋_GB2312" w:hAnsi="Calibri" w:eastAsia="仿宋_GB2312" w:cs="宋体"/>
          <w:b w:val="0"/>
          <w:bCs w:val="0"/>
          <w:color w:val="auto"/>
          <w:kern w:val="0"/>
          <w:sz w:val="32"/>
          <w:szCs w:val="32"/>
          <w:lang w:val="en-US" w:eastAsia="zh-CN" w:bidi="ar-SA"/>
        </w:rPr>
        <w:t>支持企业积极打造示范标杆或示范应用场景，对在各领域成功打造且具备一定影响力的企业给予一定奖励。</w:t>
      </w:r>
      <w:r>
        <w:rPr>
          <w:rFonts w:hint="eastAsia" w:ascii="仿宋_GB2312" w:hAnsi="Calibri" w:eastAsia="仿宋_GB2312"/>
          <w:color w:val="auto"/>
          <w:sz w:val="32"/>
          <w:szCs w:val="32"/>
        </w:rPr>
        <w:t>对为新技术示范应用提供应用场景的企业，给予一定</w:t>
      </w:r>
      <w:r>
        <w:rPr>
          <w:rFonts w:hint="eastAsia" w:ascii="仿宋_GB2312" w:hAnsi="Calibri" w:eastAsia="仿宋_GB2312"/>
          <w:color w:val="auto"/>
          <w:sz w:val="32"/>
          <w:szCs w:val="32"/>
          <w:lang w:eastAsia="zh-CN"/>
        </w:rPr>
        <w:t>支持</w:t>
      </w:r>
      <w:r>
        <w:rPr>
          <w:rFonts w:hint="eastAsia" w:ascii="仿宋_GB2312" w:hAnsi="Calibri" w:eastAsia="仿宋_GB2312"/>
          <w:color w:val="auto"/>
          <w:sz w:val="32"/>
          <w:szCs w:val="32"/>
        </w:rPr>
        <w:t>。</w:t>
      </w:r>
    </w:p>
    <w:p>
      <w:pPr>
        <w:pStyle w:val="12"/>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right="0" w:firstLine="640" w:firstLineChars="200"/>
        <w:jc w:val="both"/>
        <w:textAlignment w:val="auto"/>
        <w:rPr>
          <w:rFonts w:hint="default" w:ascii="仿宋_GB2312" w:hAnsi="Calibri" w:eastAsia="仿宋_GB2312"/>
          <w:color w:val="auto"/>
          <w:sz w:val="32"/>
          <w:szCs w:val="32"/>
          <w:lang w:val="en-US" w:eastAsia="zh-CN"/>
        </w:rPr>
      </w:pPr>
      <w:r>
        <w:rPr>
          <w:rFonts w:hint="default" w:ascii="仿宋_GB2312" w:hAnsi="Calibri" w:eastAsia="仿宋_GB2312" w:cs="宋体"/>
          <w:b/>
          <w:bCs/>
          <w:color w:val="auto"/>
          <w:kern w:val="0"/>
          <w:sz w:val="32"/>
          <w:szCs w:val="32"/>
          <w:lang w:val="en-US" w:eastAsia="zh-CN" w:bidi="ar-SA"/>
        </w:rPr>
        <w:t>1</w:t>
      </w:r>
      <w:r>
        <w:rPr>
          <w:rFonts w:hint="eastAsia" w:ascii="仿宋_GB2312" w:hAnsi="Calibri" w:eastAsia="仿宋_GB2312" w:cs="宋体"/>
          <w:b/>
          <w:bCs/>
          <w:color w:val="auto"/>
          <w:kern w:val="0"/>
          <w:sz w:val="32"/>
          <w:szCs w:val="32"/>
          <w:lang w:val="en-US" w:eastAsia="zh-CN" w:bidi="ar-SA"/>
        </w:rPr>
        <w:t>2</w:t>
      </w:r>
      <w:r>
        <w:rPr>
          <w:rFonts w:hint="default" w:ascii="仿宋_GB2312" w:hAnsi="Calibri" w:eastAsia="仿宋_GB2312" w:cs="宋体"/>
          <w:b/>
          <w:bCs/>
          <w:color w:val="auto"/>
          <w:kern w:val="0"/>
          <w:sz w:val="32"/>
          <w:szCs w:val="32"/>
          <w:lang w:val="en-US" w:eastAsia="zh-CN" w:bidi="ar-SA"/>
        </w:rPr>
        <w:t>.支持总部经济发展。</w:t>
      </w:r>
      <w:r>
        <w:rPr>
          <w:rFonts w:hint="eastAsia" w:ascii="仿宋_GB2312" w:hAnsi="Calibri" w:eastAsia="仿宋_GB2312"/>
          <w:color w:val="auto"/>
          <w:sz w:val="32"/>
          <w:szCs w:val="32"/>
          <w:lang w:val="en-US" w:eastAsia="zh-CN"/>
        </w:rPr>
        <w:t>支持开展</w:t>
      </w:r>
      <w:r>
        <w:rPr>
          <w:rFonts w:hint="default" w:ascii="仿宋_GB2312" w:hAnsi="Calibri" w:eastAsia="仿宋_GB2312"/>
          <w:color w:val="auto"/>
          <w:sz w:val="32"/>
          <w:szCs w:val="32"/>
          <w:lang w:val="en-US" w:eastAsia="zh-CN"/>
        </w:rPr>
        <w:t>企业总部（跨国公司地区总部、跨国公司总部型机构、跨国公司事业部总部、市级贸易型总部、市级民营企业总部等）</w:t>
      </w:r>
      <w:r>
        <w:rPr>
          <w:rFonts w:hint="eastAsia" w:ascii="仿宋_GB2312" w:hAnsi="Calibri" w:eastAsia="仿宋_GB2312"/>
          <w:color w:val="auto"/>
          <w:sz w:val="32"/>
          <w:szCs w:val="32"/>
          <w:lang w:val="en-US" w:eastAsia="zh-CN"/>
        </w:rPr>
        <w:t>认定</w:t>
      </w:r>
      <w:r>
        <w:rPr>
          <w:rFonts w:hint="default" w:ascii="仿宋_GB2312" w:hAnsi="Calibri" w:eastAsia="仿宋_GB2312"/>
          <w:color w:val="auto"/>
          <w:sz w:val="32"/>
          <w:szCs w:val="32"/>
          <w:lang w:val="en-US" w:eastAsia="zh-CN"/>
        </w:rPr>
        <w:t>，</w:t>
      </w:r>
      <w:r>
        <w:rPr>
          <w:rFonts w:hint="eastAsia" w:ascii="仿宋_GB2312" w:hAnsi="Calibri" w:eastAsia="仿宋_GB2312"/>
          <w:color w:val="auto"/>
          <w:sz w:val="32"/>
          <w:szCs w:val="32"/>
          <w:lang w:val="en-US" w:eastAsia="zh-CN"/>
        </w:rPr>
        <w:t>对成功认定的企业总部给予一定奖励</w:t>
      </w:r>
      <w:r>
        <w:rPr>
          <w:rFonts w:hint="default" w:ascii="仿宋_GB2312" w:hAnsi="Calibri"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四、支持企业科技创新</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default" w:ascii="仿宋_GB2312" w:hAnsi="Calibri" w:eastAsia="仿宋_GB2312" w:cs="宋体"/>
          <w:b w:val="0"/>
          <w:bCs w:val="0"/>
          <w:i w:val="0"/>
          <w:iCs w:val="0"/>
          <w:color w:val="auto"/>
          <w:kern w:val="0"/>
          <w:sz w:val="32"/>
          <w:szCs w:val="32"/>
          <w:highlight w:val="none"/>
          <w:vertAlign w:val="baseline"/>
          <w:lang w:val="en-US" w:eastAsia="zh-CN" w:bidi="ar-SA"/>
        </w:rPr>
      </w:pPr>
      <w:r>
        <w:rPr>
          <w:rFonts w:hint="eastAsia" w:ascii="仿宋_GB2312" w:hAnsi="Calibri" w:eastAsia="仿宋_GB2312" w:cs="宋体"/>
          <w:b/>
          <w:bCs/>
          <w:color w:val="auto"/>
          <w:kern w:val="0"/>
          <w:sz w:val="32"/>
          <w:szCs w:val="32"/>
          <w:lang w:val="en-US" w:eastAsia="zh-CN" w:bidi="ar-SA"/>
        </w:rPr>
        <w:t>13.加快推进科技成果转化。</w:t>
      </w:r>
      <w:r>
        <w:rPr>
          <w:rFonts w:hint="eastAsia" w:ascii="仿宋_GB2312" w:hAnsi="Calibri" w:eastAsia="仿宋_GB2312" w:cs="宋体"/>
          <w:b w:val="0"/>
          <w:bCs w:val="0"/>
          <w:color w:val="auto"/>
          <w:kern w:val="0"/>
          <w:sz w:val="32"/>
          <w:szCs w:val="32"/>
          <w:lang w:val="en-US" w:eastAsia="zh-CN" w:bidi="ar-SA"/>
        </w:rPr>
        <w:t>鼓励协同创新、推动联合技术攻关，</w:t>
      </w:r>
      <w:r>
        <w:rPr>
          <w:rFonts w:hint="default" w:ascii="仿宋_GB2312" w:hAnsi="Calibri" w:eastAsia="仿宋_GB2312" w:cs="宋体"/>
          <w:b w:val="0"/>
          <w:bCs w:val="0"/>
          <w:i w:val="0"/>
          <w:iCs w:val="0"/>
          <w:color w:val="auto"/>
          <w:kern w:val="0"/>
          <w:sz w:val="32"/>
          <w:szCs w:val="32"/>
          <w:highlight w:val="none"/>
          <w:vertAlign w:val="baseline"/>
          <w:lang w:val="en-US" w:eastAsia="zh-CN" w:bidi="ar-SA"/>
        </w:rPr>
        <w:t>对承担关键技术攻关、产学研合作、</w:t>
      </w:r>
      <w:r>
        <w:rPr>
          <w:rFonts w:hint="eastAsia" w:ascii="仿宋_GB2312" w:hAnsi="Calibri" w:eastAsia="仿宋_GB2312" w:cs="宋体"/>
          <w:b w:val="0"/>
          <w:bCs w:val="0"/>
          <w:i w:val="0"/>
          <w:iCs w:val="0"/>
          <w:color w:val="auto"/>
          <w:kern w:val="0"/>
          <w:sz w:val="32"/>
          <w:szCs w:val="32"/>
          <w:highlight w:val="none"/>
          <w:vertAlign w:val="baseline"/>
          <w:lang w:val="en-US" w:eastAsia="zh-CN" w:bidi="ar-SA"/>
        </w:rPr>
        <w:t>研发资源共享、“</w:t>
      </w:r>
      <w:r>
        <w:rPr>
          <w:rFonts w:hint="default" w:ascii="仿宋_GB2312" w:hAnsi="Calibri" w:eastAsia="仿宋_GB2312" w:cs="宋体"/>
          <w:b w:val="0"/>
          <w:bCs w:val="0"/>
          <w:i w:val="0"/>
          <w:iCs w:val="0"/>
          <w:color w:val="auto"/>
          <w:kern w:val="0"/>
          <w:sz w:val="32"/>
          <w:szCs w:val="32"/>
          <w:highlight w:val="none"/>
          <w:vertAlign w:val="baseline"/>
          <w:lang w:val="en-US" w:eastAsia="zh-CN" w:bidi="ar-SA"/>
        </w:rPr>
        <w:t>揭榜挂帅</w:t>
      </w:r>
      <w:r>
        <w:rPr>
          <w:rFonts w:hint="eastAsia" w:ascii="仿宋_GB2312" w:hAnsi="Calibri" w:eastAsia="仿宋_GB2312" w:cs="宋体"/>
          <w:b w:val="0"/>
          <w:bCs w:val="0"/>
          <w:i w:val="0"/>
          <w:iCs w:val="0"/>
          <w:color w:val="auto"/>
          <w:kern w:val="0"/>
          <w:sz w:val="32"/>
          <w:szCs w:val="32"/>
          <w:highlight w:val="none"/>
          <w:vertAlign w:val="baseline"/>
          <w:lang w:val="en-US" w:eastAsia="zh-CN" w:bidi="ar-SA"/>
        </w:rPr>
        <w:t>”</w:t>
      </w:r>
      <w:r>
        <w:rPr>
          <w:rFonts w:hint="default" w:ascii="仿宋_GB2312" w:hAnsi="Calibri" w:eastAsia="仿宋_GB2312" w:cs="宋体"/>
          <w:b w:val="0"/>
          <w:bCs w:val="0"/>
          <w:i w:val="0"/>
          <w:iCs w:val="0"/>
          <w:color w:val="auto"/>
          <w:kern w:val="0"/>
          <w:sz w:val="32"/>
          <w:szCs w:val="32"/>
          <w:highlight w:val="none"/>
          <w:vertAlign w:val="baseline"/>
          <w:lang w:val="en-US" w:eastAsia="zh-CN" w:bidi="ar-SA"/>
        </w:rPr>
        <w:t>等各类科技项目企业，</w:t>
      </w:r>
      <w:r>
        <w:rPr>
          <w:rFonts w:hint="eastAsia" w:ascii="仿宋_GB2312" w:hAnsi="Calibri" w:eastAsia="仿宋_GB2312" w:cs="宋体"/>
          <w:b w:val="0"/>
          <w:bCs w:val="0"/>
          <w:i w:val="0"/>
          <w:iCs w:val="0"/>
          <w:color w:val="auto"/>
          <w:kern w:val="0"/>
          <w:sz w:val="32"/>
          <w:szCs w:val="32"/>
          <w:highlight w:val="none"/>
          <w:vertAlign w:val="baseline"/>
          <w:lang w:val="en-US" w:eastAsia="zh-CN" w:bidi="ar-SA"/>
        </w:rPr>
        <w:t>可</w:t>
      </w:r>
      <w:r>
        <w:rPr>
          <w:rFonts w:hint="default" w:ascii="仿宋_GB2312" w:hAnsi="Calibri" w:eastAsia="仿宋_GB2312" w:cs="宋体"/>
          <w:b w:val="0"/>
          <w:bCs w:val="0"/>
          <w:i w:val="0"/>
          <w:iCs w:val="0"/>
          <w:color w:val="auto"/>
          <w:kern w:val="0"/>
          <w:sz w:val="32"/>
          <w:szCs w:val="32"/>
          <w:highlight w:val="none"/>
          <w:vertAlign w:val="baseline"/>
          <w:lang w:val="en-US" w:eastAsia="zh-CN" w:bidi="ar-SA"/>
        </w:rPr>
        <w:t>按照项目研发投入经费等给予一定</w:t>
      </w:r>
      <w:r>
        <w:rPr>
          <w:rFonts w:hint="eastAsia" w:ascii="仿宋_GB2312" w:hAnsi="Calibri" w:eastAsia="仿宋_GB2312" w:cs="宋体"/>
          <w:b w:val="0"/>
          <w:bCs w:val="0"/>
          <w:i w:val="0"/>
          <w:iCs w:val="0"/>
          <w:color w:val="auto"/>
          <w:kern w:val="0"/>
          <w:sz w:val="32"/>
          <w:szCs w:val="32"/>
          <w:highlight w:val="none"/>
          <w:vertAlign w:val="baseline"/>
          <w:lang w:val="en-US" w:eastAsia="zh-CN" w:bidi="ar-SA"/>
        </w:rPr>
        <w:t>奖励，亦可探索“先孵后投”“先投后股”等模式，试点债权、股权灵活转化，实现科创投资循环接续。</w:t>
      </w:r>
    </w:p>
    <w:p>
      <w:pPr>
        <w:pStyle w:val="12"/>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right="0" w:firstLine="640" w:firstLineChars="200"/>
        <w:jc w:val="both"/>
        <w:textAlignment w:val="auto"/>
        <w:rPr>
          <w:rFonts w:hint="eastAsia" w:ascii="仿宋_GB2312" w:hAnsi="Calibri" w:eastAsia="仿宋_GB2312"/>
          <w:color w:val="auto"/>
          <w:sz w:val="32"/>
          <w:szCs w:val="32"/>
        </w:rPr>
      </w:pPr>
      <w:r>
        <w:rPr>
          <w:rFonts w:hint="eastAsia" w:ascii="仿宋_GB2312" w:hAnsi="Calibri" w:eastAsia="仿宋_GB2312" w:cs="宋体"/>
          <w:b/>
          <w:bCs/>
          <w:color w:val="auto"/>
          <w:kern w:val="0"/>
          <w:sz w:val="32"/>
          <w:szCs w:val="32"/>
          <w:lang w:val="en-US" w:eastAsia="zh-CN" w:bidi="ar-SA"/>
        </w:rPr>
        <w:t>14.支持各类研发机构建设。</w:t>
      </w:r>
      <w:r>
        <w:rPr>
          <w:rFonts w:hint="eastAsia" w:ascii="仿宋_GB2312" w:hAnsi="Calibri" w:eastAsia="仿宋_GB2312" w:cs="Times New Roman"/>
          <w:color w:val="auto"/>
          <w:sz w:val="32"/>
          <w:szCs w:val="32"/>
          <w:lang w:eastAsia="zh-CN"/>
        </w:rPr>
        <w:t>支持</w:t>
      </w:r>
      <w:r>
        <w:rPr>
          <w:rFonts w:hint="eastAsia" w:ascii="仿宋_GB2312" w:hAnsi="Calibri" w:eastAsia="仿宋_GB2312" w:cs="Times New Roman"/>
          <w:color w:val="auto"/>
          <w:sz w:val="32"/>
          <w:szCs w:val="32"/>
          <w:lang w:val="en-US" w:eastAsia="zh-CN"/>
        </w:rPr>
        <w:t>各类社会力量</w:t>
      </w:r>
      <w:r>
        <w:rPr>
          <w:rFonts w:hint="eastAsia" w:ascii="仿宋_GB2312" w:hAnsi="Calibri" w:eastAsia="仿宋_GB2312" w:cs="Times New Roman"/>
          <w:color w:val="auto"/>
          <w:sz w:val="32"/>
          <w:szCs w:val="32"/>
          <w:lang w:eastAsia="zh-CN"/>
        </w:rPr>
        <w:t>建设重点实验室、技术创新中心、检验检测平台、小试中试、公共服务平台、新型研发机构</w:t>
      </w:r>
      <w:r>
        <w:rPr>
          <w:rFonts w:hint="eastAsia" w:ascii="仿宋_GB2312" w:hAnsi="Calibri" w:eastAsia="仿宋_GB2312" w:cs="Times New Roman"/>
          <w:color w:val="auto"/>
          <w:sz w:val="32"/>
          <w:szCs w:val="32"/>
          <w:lang w:val="en-US" w:eastAsia="zh-CN"/>
        </w:rPr>
        <w:t>等</w:t>
      </w:r>
      <w:r>
        <w:rPr>
          <w:rFonts w:hint="eastAsia" w:ascii="仿宋_GB2312" w:hAnsi="Calibri" w:eastAsia="仿宋_GB2312" w:cs="Times New Roman"/>
          <w:color w:val="auto"/>
          <w:sz w:val="32"/>
          <w:szCs w:val="32"/>
          <w:lang w:eastAsia="zh-CN"/>
        </w:rPr>
        <w:t>，可</w:t>
      </w:r>
      <w:r>
        <w:rPr>
          <w:rFonts w:hint="eastAsia" w:ascii="仿宋_GB2312" w:hAnsi="Calibri" w:eastAsia="仿宋_GB2312" w:cs="Times New Roman"/>
          <w:color w:val="auto"/>
          <w:sz w:val="32"/>
          <w:szCs w:val="32"/>
          <w:lang w:val="en-US" w:eastAsia="zh-CN"/>
        </w:rPr>
        <w:t>分级分类</w:t>
      </w:r>
      <w:r>
        <w:rPr>
          <w:rFonts w:hint="eastAsia" w:ascii="仿宋_GB2312" w:hAnsi="Calibri" w:eastAsia="仿宋_GB2312" w:cs="Times New Roman"/>
          <w:color w:val="auto"/>
          <w:sz w:val="32"/>
          <w:szCs w:val="32"/>
          <w:lang w:eastAsia="zh-CN"/>
        </w:rPr>
        <w:t>给予</w:t>
      </w:r>
      <w:r>
        <w:rPr>
          <w:rFonts w:hint="eastAsia" w:ascii="仿宋_GB2312" w:hAnsi="Calibri" w:eastAsia="仿宋_GB2312" w:cs="Times New Roman"/>
          <w:color w:val="auto"/>
          <w:sz w:val="32"/>
          <w:szCs w:val="32"/>
          <w:lang w:val="en-US" w:eastAsia="zh-CN"/>
        </w:rPr>
        <w:t>一定</w:t>
      </w:r>
      <w:r>
        <w:rPr>
          <w:rFonts w:hint="eastAsia" w:ascii="仿宋_GB2312" w:hAnsi="Calibri" w:eastAsia="仿宋_GB2312" w:cs="Times New Roman"/>
          <w:color w:val="auto"/>
          <w:sz w:val="32"/>
          <w:szCs w:val="32"/>
          <w:lang w:eastAsia="zh-CN"/>
        </w:rPr>
        <w:t>支持。</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eastAsia" w:ascii="仿宋_GB2312" w:hAnsi="Calibri" w:eastAsia="仿宋_GB2312" w:cs="宋体"/>
          <w:b/>
          <w:bCs/>
          <w:color w:val="auto"/>
          <w:kern w:val="0"/>
          <w:sz w:val="32"/>
          <w:szCs w:val="32"/>
          <w:lang w:val="en-US" w:eastAsia="zh-CN" w:bidi="ar-SA"/>
        </w:rPr>
      </w:pPr>
      <w:r>
        <w:rPr>
          <w:rFonts w:hint="eastAsia" w:ascii="仿宋_GB2312" w:hAnsi="Calibri" w:eastAsia="仿宋_GB2312" w:cs="宋体"/>
          <w:b/>
          <w:bCs/>
          <w:color w:val="auto"/>
          <w:kern w:val="0"/>
          <w:sz w:val="32"/>
          <w:szCs w:val="32"/>
          <w:lang w:val="en-US" w:eastAsia="zh-CN" w:bidi="ar-SA"/>
        </w:rPr>
        <w:t>15.支持开展概念验证活动。</w:t>
      </w:r>
      <w:r>
        <w:rPr>
          <w:rFonts w:hint="eastAsia" w:ascii="仿宋_GB2312" w:hAnsi="Calibri" w:eastAsia="仿宋_GB2312" w:cs="宋体"/>
          <w:b w:val="0"/>
          <w:bCs w:val="0"/>
          <w:color w:val="auto"/>
          <w:kern w:val="0"/>
          <w:sz w:val="32"/>
          <w:szCs w:val="32"/>
          <w:lang w:val="en-US" w:eastAsia="zh-CN" w:bidi="ar-SA"/>
        </w:rPr>
        <w:t>支持概念验证中心建设，对经评估的运营主体给予一定奖励，对完成重点领域项目验证的项目给予一定奖励。</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eastAsia" w:ascii="仿宋_GB2312" w:hAnsi="Calibri" w:eastAsia="仿宋_GB2312"/>
          <w:color w:val="auto"/>
          <w:sz w:val="32"/>
          <w:szCs w:val="32"/>
          <w:lang w:eastAsia="zh-CN"/>
        </w:rPr>
      </w:pPr>
      <w:r>
        <w:rPr>
          <w:rFonts w:hint="eastAsia" w:ascii="仿宋_GB2312" w:hAnsi="Calibri" w:eastAsia="仿宋_GB2312" w:cs="宋体"/>
          <w:b/>
          <w:bCs/>
          <w:color w:val="auto"/>
          <w:kern w:val="0"/>
          <w:sz w:val="32"/>
          <w:szCs w:val="32"/>
          <w:lang w:val="en-US" w:eastAsia="zh-CN" w:bidi="ar-SA"/>
        </w:rPr>
        <w:t>16.支持提升研发创新能力。</w:t>
      </w:r>
      <w:r>
        <w:rPr>
          <w:rFonts w:hint="eastAsia" w:ascii="仿宋_GB2312" w:hAnsi="Calibri" w:eastAsia="仿宋_GB2312"/>
          <w:color w:val="auto"/>
          <w:sz w:val="32"/>
          <w:szCs w:val="32"/>
          <w:lang w:eastAsia="zh-CN"/>
        </w:rPr>
        <w:t>鼓励企业持续开展研究开发与技术成果转化，支持企业开展研发设计，按其研发投入的一定比例给予</w:t>
      </w:r>
      <w:r>
        <w:rPr>
          <w:rFonts w:hint="eastAsia" w:ascii="仿宋_GB2312" w:hAnsi="Calibri" w:eastAsia="仿宋_GB2312"/>
          <w:color w:val="auto"/>
          <w:sz w:val="32"/>
          <w:szCs w:val="32"/>
          <w:lang w:val="en-US" w:eastAsia="zh-CN"/>
        </w:rPr>
        <w:t>奖励。</w:t>
      </w:r>
      <w:r>
        <w:rPr>
          <w:rFonts w:hint="eastAsia" w:ascii="仿宋_GB2312" w:hAnsi="Calibri" w:eastAsia="仿宋_GB2312"/>
          <w:color w:val="auto"/>
          <w:sz w:val="32"/>
          <w:szCs w:val="32"/>
          <w:lang w:eastAsia="zh-CN"/>
        </w:rPr>
        <w:t>对创造首台(套)装备、首批次材料、首版次软件的企业给予一定奖励。</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eastAsia" w:ascii="仿宋_GB2312" w:hAnsi="Calibri" w:eastAsia="仿宋_GB2312"/>
          <w:color w:val="auto"/>
          <w:sz w:val="32"/>
          <w:szCs w:val="32"/>
          <w:lang w:eastAsia="zh-CN"/>
        </w:rPr>
      </w:pPr>
      <w:r>
        <w:rPr>
          <w:rFonts w:hint="eastAsia" w:ascii="仿宋_GB2312" w:hAnsi="Calibri" w:eastAsia="仿宋_GB2312" w:cs="宋体"/>
          <w:b/>
          <w:bCs/>
          <w:color w:val="auto"/>
          <w:kern w:val="0"/>
          <w:sz w:val="32"/>
          <w:szCs w:val="32"/>
          <w:lang w:val="en-US" w:eastAsia="zh-CN" w:bidi="ar-SA"/>
        </w:rPr>
        <w:t>17.加大知识产权保护力度。</w:t>
      </w:r>
      <w:r>
        <w:rPr>
          <w:rFonts w:hint="eastAsia" w:ascii="仿宋_GB2312" w:hAnsi="Calibri" w:eastAsia="仿宋_GB2312" w:cs="Times New Roman"/>
          <w:color w:val="auto"/>
          <w:kern w:val="0"/>
          <w:sz w:val="32"/>
          <w:szCs w:val="32"/>
          <w:lang w:val="en-US" w:eastAsia="zh-CN" w:bidi="ar-SA"/>
        </w:rPr>
        <w:t>支持知识产权高质量创造，推动知识产权高质量管理、高效益运用及高水平保护，</w:t>
      </w:r>
      <w:r>
        <w:rPr>
          <w:rFonts w:hint="eastAsia" w:ascii="仿宋_GB2312" w:hAnsi="Calibri" w:eastAsia="仿宋_GB2312"/>
          <w:color w:val="auto"/>
          <w:sz w:val="32"/>
          <w:szCs w:val="32"/>
          <w:lang w:eastAsia="zh-CN"/>
        </w:rPr>
        <w:t>对获得知识产权维权保护、转化运用、公共服务等领域的项目给予一定奖励。</w:t>
      </w:r>
    </w:p>
    <w:p>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lang w:val="en-US" w:eastAsia="zh-CN"/>
        </w:rPr>
      </w:pPr>
      <w:r>
        <w:rPr>
          <w:rFonts w:hint="eastAsia" w:ascii="仿宋_GB2312" w:hAnsi="Calibri" w:eastAsia="仿宋_GB2312" w:cs="宋体"/>
          <w:b/>
          <w:bCs/>
          <w:color w:val="auto"/>
          <w:kern w:val="0"/>
          <w:sz w:val="32"/>
          <w:szCs w:val="32"/>
          <w:lang w:val="en-US" w:eastAsia="zh-CN" w:bidi="ar-SA"/>
        </w:rPr>
        <w:t>18.积极开展质量提升行动。</w:t>
      </w:r>
      <w:r>
        <w:rPr>
          <w:rFonts w:hint="eastAsia" w:ascii="仿宋_GB2312" w:hAnsi="Calibri" w:eastAsia="仿宋_GB2312" w:cs="Times New Roman"/>
          <w:color w:val="auto"/>
          <w:kern w:val="0"/>
          <w:sz w:val="32"/>
          <w:szCs w:val="32"/>
          <w:lang w:val="en-US" w:eastAsia="zh-CN" w:bidi="ar-SA"/>
        </w:rPr>
        <w:t>对在质量、计量、标准、认证认可、检验检测等质量技术基础建设中，获得各级荣誉的企业，给予相应支持。支持企业开展标准制修订、承担标准化技术委员会等工作，对成功打造标准化示范（试点）或获得各级标准创新贡献奖等优质项目，给予一定奖励。</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五、加速企业育强集聚</w:t>
      </w:r>
    </w:p>
    <w:p>
      <w:pPr>
        <w:pStyle w:val="12"/>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right="0" w:firstLine="640" w:firstLineChars="200"/>
        <w:jc w:val="both"/>
        <w:textAlignment w:val="auto"/>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bCs/>
          <w:color w:val="auto"/>
          <w:sz w:val="32"/>
          <w:szCs w:val="32"/>
          <w:lang w:val="en-US" w:eastAsia="zh-CN"/>
        </w:rPr>
        <w:t>19.强化产业体系培育。</w:t>
      </w:r>
      <w:r>
        <w:rPr>
          <w:rFonts w:hint="eastAsia" w:ascii="仿宋_GB2312" w:hAnsi="Calibri" w:eastAsia="仿宋_GB2312" w:cs="Times New Roman"/>
          <w:color w:val="auto"/>
          <w:kern w:val="0"/>
          <w:sz w:val="32"/>
          <w:szCs w:val="32"/>
          <w:lang w:val="en-US" w:eastAsia="zh-CN" w:bidi="ar-SA"/>
        </w:rPr>
        <w:t>围绕本市现代化产业体系建设，</w:t>
      </w:r>
      <w:r>
        <w:rPr>
          <w:rFonts w:hint="eastAsia" w:ascii="仿宋_GB2312" w:hAnsi="Calibri" w:eastAsia="仿宋_GB2312" w:cs="Times New Roman"/>
          <w:b w:val="0"/>
          <w:bCs w:val="0"/>
          <w:color w:val="auto"/>
          <w:sz w:val="32"/>
          <w:szCs w:val="32"/>
          <w:lang w:val="en-US" w:eastAsia="zh-CN"/>
        </w:rPr>
        <w:t>持续加强政策供给，加快政策储备，完善“1+4+N”产业政策体系，用足用好专项政策，</w:t>
      </w:r>
      <w:r>
        <w:rPr>
          <w:rFonts w:hint="eastAsia" w:ascii="仿宋_GB2312" w:hAnsi="Calibri" w:eastAsia="仿宋_GB2312" w:cs="Times New Roman"/>
          <w:b w:val="0"/>
          <w:bCs w:val="0"/>
          <w:color w:val="auto"/>
          <w:sz w:val="32"/>
          <w:szCs w:val="32"/>
          <w:highlight w:val="none"/>
          <w:lang w:val="en-US" w:eastAsia="zh-CN"/>
        </w:rPr>
        <w:t>加快形成新质生产力。</w:t>
      </w:r>
    </w:p>
    <w:p>
      <w:pPr>
        <w:pStyle w:val="12"/>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right="0" w:firstLine="640" w:firstLineChars="200"/>
        <w:jc w:val="both"/>
        <w:textAlignment w:val="auto"/>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宋体"/>
          <w:b/>
          <w:bCs/>
          <w:color w:val="auto"/>
          <w:kern w:val="0"/>
          <w:sz w:val="32"/>
          <w:szCs w:val="32"/>
          <w:highlight w:val="none"/>
          <w:lang w:val="en-US" w:eastAsia="zh-CN" w:bidi="ar-SA"/>
        </w:rPr>
        <w:t>20.推动二三产融合发展。</w:t>
      </w:r>
      <w:r>
        <w:rPr>
          <w:rFonts w:hint="eastAsia" w:ascii="仿宋_GB2312" w:hAnsi="Calibri" w:eastAsia="仿宋_GB2312" w:cs="宋体"/>
          <w:b w:val="0"/>
          <w:bCs w:val="0"/>
          <w:color w:val="auto"/>
          <w:kern w:val="0"/>
          <w:sz w:val="32"/>
          <w:szCs w:val="32"/>
          <w:highlight w:val="none"/>
          <w:lang w:val="en-US" w:eastAsia="zh-CN" w:bidi="ar-SA"/>
        </w:rPr>
        <w:t>加快法律金融、知识产权、人力资源、科技转化、检测认证、软件信息等服务机构入驻和发展，完善综合服务体系，促进二三产高效融合，推动工业服务业赋能产业升级。</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eastAsia" w:ascii="仿宋_GB2312" w:eastAsia="仿宋_GB2312"/>
          <w:color w:val="auto"/>
          <w:sz w:val="32"/>
          <w:szCs w:val="32"/>
          <w:lang w:eastAsia="zh-CN"/>
        </w:rPr>
      </w:pPr>
      <w:r>
        <w:rPr>
          <w:rFonts w:hint="eastAsia" w:ascii="仿宋_GB2312" w:hAnsi="Calibri" w:eastAsia="仿宋_GB2312" w:cs="宋体"/>
          <w:b/>
          <w:bCs/>
          <w:color w:val="auto"/>
          <w:kern w:val="0"/>
          <w:sz w:val="32"/>
          <w:szCs w:val="32"/>
          <w:lang w:val="en-US" w:eastAsia="zh-CN" w:bidi="ar-SA"/>
        </w:rPr>
        <w:t>21.支持载体品质建设。</w:t>
      </w:r>
      <w:r>
        <w:rPr>
          <w:rFonts w:hint="eastAsia" w:ascii="仿宋_GB2312" w:hAnsi="Calibri" w:eastAsia="仿宋_GB2312" w:cs="宋体"/>
          <w:b w:val="0"/>
          <w:bCs w:val="0"/>
          <w:color w:val="auto"/>
          <w:kern w:val="0"/>
          <w:sz w:val="32"/>
          <w:szCs w:val="32"/>
          <w:lang w:val="en-US" w:eastAsia="zh-CN" w:bidi="ar-SA"/>
        </w:rPr>
        <w:t>鼓励各类载体提升能级、加快集聚、丰富功能、创新服务，</w:t>
      </w:r>
      <w:r>
        <w:rPr>
          <w:rFonts w:hint="eastAsia" w:ascii="仿宋_GB2312" w:eastAsia="仿宋_GB2312"/>
          <w:color w:val="auto"/>
          <w:sz w:val="32"/>
          <w:szCs w:val="32"/>
          <w:lang w:val="en-US" w:eastAsia="zh-CN"/>
        </w:rPr>
        <w:t>对</w:t>
      </w:r>
      <w:r>
        <w:rPr>
          <w:rFonts w:hint="eastAsia" w:ascii="仿宋_GB2312" w:eastAsia="仿宋_GB2312"/>
          <w:color w:val="auto"/>
          <w:sz w:val="32"/>
          <w:szCs w:val="32"/>
        </w:rPr>
        <w:t>获得</w:t>
      </w:r>
      <w:r>
        <w:rPr>
          <w:rFonts w:hint="eastAsia" w:ascii="仿宋_GB2312" w:eastAsia="仿宋_GB2312"/>
          <w:color w:val="auto"/>
          <w:sz w:val="32"/>
          <w:szCs w:val="32"/>
          <w:lang w:val="en-US" w:eastAsia="zh-CN"/>
        </w:rPr>
        <w:t>各级各类</w:t>
      </w:r>
      <w:r>
        <w:rPr>
          <w:rFonts w:hint="eastAsia" w:ascii="仿宋_GB2312" w:eastAsia="仿宋_GB2312"/>
          <w:color w:val="auto"/>
          <w:sz w:val="32"/>
          <w:szCs w:val="32"/>
        </w:rPr>
        <w:t>荣誉称号的</w:t>
      </w:r>
      <w:r>
        <w:rPr>
          <w:rFonts w:hint="eastAsia" w:ascii="仿宋_GB2312" w:eastAsia="仿宋_GB2312"/>
          <w:color w:val="auto"/>
          <w:sz w:val="32"/>
          <w:szCs w:val="32"/>
          <w:lang w:val="en-US" w:eastAsia="zh-CN"/>
        </w:rPr>
        <w:t>产业</w:t>
      </w:r>
      <w:r>
        <w:rPr>
          <w:rFonts w:hint="eastAsia" w:ascii="仿宋_GB2312" w:eastAsia="仿宋_GB2312"/>
          <w:color w:val="auto"/>
          <w:sz w:val="32"/>
          <w:szCs w:val="32"/>
        </w:rPr>
        <w:t>园区</w:t>
      </w:r>
      <w:r>
        <w:rPr>
          <w:rFonts w:hint="eastAsia" w:ascii="仿宋_GB2312" w:eastAsia="仿宋_GB2312"/>
          <w:color w:val="auto"/>
          <w:sz w:val="32"/>
          <w:szCs w:val="32"/>
          <w:lang w:val="en-US" w:eastAsia="zh-CN"/>
        </w:rPr>
        <w:t>或商务楼宇的运营公司</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对</w:t>
      </w:r>
      <w:r>
        <w:rPr>
          <w:rFonts w:hint="eastAsia" w:ascii="仿宋_GB2312" w:eastAsia="仿宋_GB2312"/>
          <w:color w:val="auto"/>
          <w:sz w:val="32"/>
          <w:szCs w:val="32"/>
        </w:rPr>
        <w:t>产业联盟、创新联合体、</w:t>
      </w:r>
      <w:r>
        <w:rPr>
          <w:rFonts w:hint="eastAsia" w:ascii="仿宋_GB2312" w:eastAsia="仿宋_GB2312"/>
          <w:color w:val="auto"/>
          <w:sz w:val="32"/>
          <w:szCs w:val="32"/>
          <w:lang w:val="en-US" w:eastAsia="zh-CN"/>
        </w:rPr>
        <w:t>企业创新中心、营运中心、孵化器</w:t>
      </w:r>
      <w:r>
        <w:rPr>
          <w:rFonts w:hint="eastAsia" w:ascii="Times New Roman" w:hAnsi="Times New Roman" w:eastAsia="仿宋_GB2312" w:cs="Times New Roman"/>
          <w:color w:val="auto"/>
          <w:sz w:val="32"/>
          <w:szCs w:val="32"/>
        </w:rPr>
        <w:t>等</w:t>
      </w:r>
      <w:r>
        <w:rPr>
          <w:rFonts w:hint="eastAsia" w:ascii="仿宋_GB2312" w:eastAsia="仿宋_GB2312"/>
          <w:color w:val="auto"/>
          <w:sz w:val="32"/>
          <w:szCs w:val="32"/>
        </w:rPr>
        <w:t>各类</w:t>
      </w:r>
      <w:r>
        <w:rPr>
          <w:rFonts w:hint="eastAsia" w:ascii="仿宋_GB2312" w:eastAsia="仿宋_GB2312"/>
          <w:color w:val="auto"/>
          <w:sz w:val="32"/>
          <w:szCs w:val="32"/>
          <w:lang w:val="en-US" w:eastAsia="zh-CN"/>
        </w:rPr>
        <w:t>运营公司</w:t>
      </w:r>
      <w:r>
        <w:rPr>
          <w:rFonts w:hint="eastAsia" w:ascii="仿宋_GB2312" w:eastAsia="仿宋_GB2312"/>
          <w:color w:val="auto"/>
          <w:sz w:val="32"/>
          <w:szCs w:val="32"/>
        </w:rPr>
        <w:t>，给予一定奖励</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22.强化载体孵化功能。</w:t>
      </w:r>
      <w:r>
        <w:rPr>
          <w:rFonts w:hint="eastAsia" w:ascii="仿宋_GB2312" w:eastAsia="仿宋_GB2312"/>
          <w:b w:val="0"/>
          <w:bCs w:val="0"/>
          <w:color w:val="auto"/>
          <w:sz w:val="32"/>
          <w:szCs w:val="32"/>
          <w:lang w:val="en-US" w:eastAsia="zh-CN"/>
        </w:rPr>
        <w:t>聚焦企业需求，提升载体孵化能力，鼓励产业园区、商务楼宇等各类平台载体对新入驻的成长性企业给予全方位的支撑与保障。</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eastAsia" w:ascii="仿宋_GB2312" w:eastAsia="仿宋_GB2312"/>
          <w:color w:val="auto"/>
          <w:sz w:val="32"/>
          <w:szCs w:val="32"/>
          <w:lang w:eastAsia="zh-CN"/>
        </w:rPr>
      </w:pPr>
      <w:r>
        <w:rPr>
          <w:rFonts w:hint="eastAsia" w:ascii="仿宋_GB2312" w:eastAsia="仿宋_GB2312" w:cs="Times New Roman"/>
          <w:b/>
          <w:bCs/>
          <w:color w:val="auto"/>
          <w:sz w:val="32"/>
          <w:szCs w:val="32"/>
          <w:lang w:val="en-US" w:eastAsia="zh-CN"/>
        </w:rPr>
        <w:t>23.</w:t>
      </w:r>
      <w:r>
        <w:rPr>
          <w:rFonts w:hint="eastAsia" w:ascii="仿宋_GB2312" w:hAnsi="Times New Roman" w:eastAsia="仿宋_GB2312" w:cs="Times New Roman"/>
          <w:b/>
          <w:bCs/>
          <w:color w:val="auto"/>
          <w:sz w:val="32"/>
          <w:szCs w:val="32"/>
          <w:lang w:val="en-US" w:eastAsia="zh-CN"/>
        </w:rPr>
        <w:t>促进产业链供需对接。</w:t>
      </w:r>
      <w:r>
        <w:rPr>
          <w:rFonts w:hint="eastAsia" w:ascii="仿宋_GB2312" w:hAnsi="Times New Roman" w:eastAsia="仿宋_GB2312" w:cs="Times New Roman"/>
          <w:b w:val="0"/>
          <w:bCs w:val="0"/>
          <w:color w:val="auto"/>
          <w:sz w:val="32"/>
          <w:szCs w:val="32"/>
          <w:lang w:val="en-US" w:eastAsia="zh-CN"/>
        </w:rPr>
        <w:t>支持企业开展产业链、供应链对接活动，</w:t>
      </w:r>
      <w:r>
        <w:rPr>
          <w:rFonts w:hint="eastAsia" w:ascii="仿宋_GB2312" w:eastAsia="仿宋_GB2312"/>
          <w:b w:val="0"/>
          <w:bCs w:val="0"/>
          <w:strike w:val="0"/>
          <w:dstrike w:val="0"/>
          <w:color w:val="000000"/>
          <w:sz w:val="32"/>
          <w:szCs w:val="32"/>
          <w:u w:val="none" w:color="auto"/>
          <w:lang w:val="en-US" w:eastAsia="zh-CN"/>
        </w:rPr>
        <w:t>打通区内产业链、</w:t>
      </w:r>
      <w:r>
        <w:rPr>
          <w:rFonts w:hint="eastAsia" w:ascii="仿宋_GB2312" w:eastAsia="仿宋_GB2312"/>
          <w:b w:val="0"/>
          <w:bCs w:val="0"/>
          <w:strike w:val="0"/>
          <w:dstrike w:val="0"/>
          <w:color w:val="000000"/>
          <w:sz w:val="32"/>
          <w:szCs w:val="32"/>
          <w:highlight w:val="none"/>
          <w:u w:val="none" w:color="auto"/>
          <w:lang w:val="en-US" w:eastAsia="zh-CN"/>
        </w:rPr>
        <w:t>供应链融合壁垒，</w:t>
      </w:r>
      <w:r>
        <w:rPr>
          <w:rFonts w:hint="eastAsia" w:ascii="仿宋_GB2312" w:eastAsia="仿宋_GB2312"/>
          <w:color w:val="auto"/>
          <w:sz w:val="32"/>
          <w:szCs w:val="32"/>
          <w:lang w:eastAsia="zh-CN"/>
        </w:rPr>
        <w:t>对积极拓展销售渠道、畅通产品销路，</w:t>
      </w:r>
      <w:r>
        <w:rPr>
          <w:rFonts w:hint="eastAsia" w:ascii="仿宋_GB2312" w:eastAsia="仿宋_GB2312"/>
          <w:color w:val="auto"/>
          <w:sz w:val="32"/>
          <w:szCs w:val="32"/>
          <w:lang w:val="en-US" w:eastAsia="zh-CN"/>
        </w:rPr>
        <w:t>并</w:t>
      </w:r>
      <w:r>
        <w:rPr>
          <w:rFonts w:hint="eastAsia" w:ascii="仿宋_GB2312" w:eastAsia="仿宋_GB2312"/>
          <w:color w:val="auto"/>
          <w:sz w:val="32"/>
          <w:szCs w:val="32"/>
          <w:u w:val="none"/>
          <w:lang w:val="en-US" w:eastAsia="zh-CN"/>
        </w:rPr>
        <w:t>成功</w:t>
      </w:r>
      <w:r>
        <w:rPr>
          <w:rFonts w:hint="eastAsia" w:ascii="仿宋_GB2312" w:eastAsia="仿宋_GB2312"/>
          <w:color w:val="auto"/>
          <w:sz w:val="32"/>
          <w:szCs w:val="32"/>
          <w:lang w:eastAsia="zh-CN"/>
        </w:rPr>
        <w:t>实现</w:t>
      </w:r>
      <w:r>
        <w:rPr>
          <w:rFonts w:hint="eastAsia" w:ascii="仿宋_GB2312" w:eastAsia="仿宋_GB2312"/>
          <w:color w:val="auto"/>
          <w:sz w:val="32"/>
          <w:szCs w:val="32"/>
        </w:rPr>
        <w:t>产业链上下游供需对接</w:t>
      </w:r>
      <w:r>
        <w:rPr>
          <w:rFonts w:hint="eastAsia" w:ascii="仿宋_GB2312" w:eastAsia="仿宋_GB2312"/>
          <w:color w:val="auto"/>
          <w:sz w:val="32"/>
          <w:szCs w:val="32"/>
          <w:lang w:eastAsia="zh-CN"/>
        </w:rPr>
        <w:t>的企业，给予一定支持。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b w:val="0"/>
          <w:bCs w:val="0"/>
          <w:color w:val="auto"/>
          <w:sz w:val="32"/>
          <w:szCs w:val="32"/>
          <w:lang w:val="en-US" w:eastAsia="zh-CN"/>
        </w:rPr>
      </w:pPr>
      <w:r>
        <w:rPr>
          <w:rFonts w:hint="eastAsia" w:ascii="仿宋_GB2312" w:hAnsi="Calibri" w:eastAsia="仿宋_GB2312" w:cs="Times New Roman"/>
          <w:b/>
          <w:bCs/>
          <w:color w:val="auto"/>
          <w:sz w:val="32"/>
          <w:szCs w:val="32"/>
          <w:lang w:val="en-US" w:eastAsia="zh-CN"/>
        </w:rPr>
        <w:t>24.推广产业中心化计划。</w:t>
      </w:r>
      <w:r>
        <w:rPr>
          <w:rFonts w:hint="eastAsia" w:ascii="仿宋_GB2312" w:hAnsi="Calibri" w:eastAsia="仿宋_GB2312" w:cs="Times New Roman"/>
          <w:b w:val="0"/>
          <w:bCs w:val="0"/>
          <w:color w:val="auto"/>
          <w:sz w:val="32"/>
          <w:szCs w:val="32"/>
          <w:lang w:val="en-US" w:eastAsia="zh-CN"/>
        </w:rPr>
        <w:t>鼓励企业自主实施“产业中心化”计划，打造集生产、研发、物流、商务、生活于一体的多功能产业中心区，对推动产业上下游企业集聚产生显著成效的企业给予一定支持。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Calibri" w:eastAsia="仿宋_GB2312" w:cs="Times New Roman"/>
          <w:b/>
          <w:bCs/>
          <w:color w:val="auto"/>
          <w:sz w:val="32"/>
          <w:szCs w:val="32"/>
          <w:lang w:val="en-US" w:eastAsia="zh-CN"/>
        </w:rPr>
        <w:t>25.鼓励开展协作招商。</w:t>
      </w:r>
      <w:r>
        <w:rPr>
          <w:rFonts w:hint="eastAsia" w:ascii="仿宋_GB2312" w:hAnsi="Calibri" w:eastAsia="仿宋_GB2312" w:cs="Times New Roman"/>
          <w:b w:val="0"/>
          <w:bCs w:val="0"/>
          <w:color w:val="auto"/>
          <w:sz w:val="32"/>
          <w:szCs w:val="32"/>
          <w:lang w:val="en-US" w:eastAsia="zh-CN"/>
        </w:rPr>
        <w:t>对嘉定区“全球战略招商合作伙伴”等专业机构，成功引荐符合重点产业定位的投资项目的，给予相应奖励，推动更多优质企业落户。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六、加大金融支持力度</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s="Times New Roman"/>
          <w:b/>
          <w:bCs/>
          <w:color w:val="auto"/>
          <w:sz w:val="32"/>
          <w:szCs w:val="32"/>
          <w:highlight w:val="none"/>
          <w:lang w:val="en-US" w:eastAsia="zh-CN"/>
        </w:rPr>
        <w:t>26.</w:t>
      </w:r>
      <w:r>
        <w:rPr>
          <w:rFonts w:hint="eastAsia" w:ascii="仿宋_GB2312" w:hAnsi="Times New Roman" w:eastAsia="仿宋_GB2312" w:cs="Times New Roman"/>
          <w:b/>
          <w:bCs/>
          <w:color w:val="auto"/>
          <w:sz w:val="32"/>
          <w:szCs w:val="32"/>
          <w:highlight w:val="none"/>
          <w:lang w:val="en-US" w:eastAsia="zh-CN"/>
        </w:rPr>
        <w:t>加速上市企业培育。</w:t>
      </w:r>
      <w:r>
        <w:rPr>
          <w:rFonts w:hint="eastAsia" w:ascii="仿宋_GB2312" w:eastAsia="仿宋_GB2312" w:cs="Times New Roman"/>
          <w:b w:val="0"/>
          <w:bCs w:val="0"/>
          <w:color w:val="auto"/>
          <w:sz w:val="32"/>
          <w:szCs w:val="32"/>
          <w:highlight w:val="none"/>
          <w:lang w:val="en-US" w:eastAsia="zh-CN"/>
        </w:rPr>
        <w:t>加大上市企业培育力度，支持企业境内外上市、</w:t>
      </w:r>
      <w:r>
        <w:rPr>
          <w:rFonts w:hint="eastAsia" w:ascii="仿宋_GB2312" w:eastAsia="仿宋_GB2312"/>
          <w:color w:val="auto"/>
          <w:sz w:val="32"/>
          <w:szCs w:val="32"/>
          <w:highlight w:val="none"/>
          <w:u w:val="none"/>
          <w:lang w:val="en-US" w:eastAsia="zh-CN"/>
        </w:rPr>
        <w:t>挂牌交易，对企业通过上市融资再投资的，可按一定比例给予奖励。</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hAnsi="Times New Roman" w:eastAsia="仿宋_GB2312" w:cs="Times New Roman"/>
          <w:b/>
          <w:bCs/>
          <w:color w:val="auto"/>
          <w:sz w:val="32"/>
          <w:szCs w:val="32"/>
          <w:highlight w:val="none"/>
          <w:lang w:val="en-US" w:eastAsia="zh-CN"/>
        </w:rPr>
        <w:t>2</w:t>
      </w:r>
      <w:r>
        <w:rPr>
          <w:rFonts w:hint="eastAsia" w:ascii="仿宋_GB2312" w:eastAsia="仿宋_GB2312" w:cs="Times New Roman"/>
          <w:b/>
          <w:bCs/>
          <w:color w:val="auto"/>
          <w:sz w:val="32"/>
          <w:szCs w:val="32"/>
          <w:highlight w:val="none"/>
          <w:lang w:val="en-US" w:eastAsia="zh-CN"/>
        </w:rPr>
        <w:t>7</w:t>
      </w:r>
      <w:r>
        <w:rPr>
          <w:rFonts w:hint="eastAsia" w:ascii="仿宋_GB2312" w:hAnsi="Times New Roman" w:eastAsia="仿宋_GB2312" w:cs="Times New Roman"/>
          <w:b/>
          <w:bCs/>
          <w:color w:val="auto"/>
          <w:sz w:val="32"/>
          <w:szCs w:val="32"/>
          <w:highlight w:val="none"/>
          <w:lang w:val="en-US" w:eastAsia="zh-CN"/>
        </w:rPr>
        <w:t>.提升金融赋能实效。</w:t>
      </w:r>
      <w:r>
        <w:rPr>
          <w:rFonts w:hint="eastAsia" w:ascii="仿宋_GB2312" w:eastAsia="仿宋_GB2312"/>
          <w:color w:val="auto"/>
          <w:sz w:val="32"/>
          <w:szCs w:val="32"/>
          <w:highlight w:val="none"/>
          <w:u w:val="none"/>
          <w:lang w:val="en-US" w:eastAsia="zh-CN"/>
        </w:rPr>
        <w:t>鼓励企业使用IPO募集资金投资符合我区产业导向的企业，支持企业实施并购重组、再融资，强化金融服务实体经济效能，推动产业升级。</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s="Times New Roman"/>
          <w:b/>
          <w:bCs/>
          <w:color w:val="auto"/>
          <w:sz w:val="32"/>
          <w:szCs w:val="32"/>
          <w:lang w:val="en-US" w:eastAsia="zh-CN"/>
        </w:rPr>
        <w:t>28.</w:t>
      </w:r>
      <w:r>
        <w:rPr>
          <w:rFonts w:hint="eastAsia" w:ascii="仿宋_GB2312" w:hAnsi="Times New Roman" w:eastAsia="仿宋_GB2312" w:cs="Times New Roman"/>
          <w:b/>
          <w:bCs/>
          <w:color w:val="auto"/>
          <w:sz w:val="32"/>
          <w:szCs w:val="32"/>
          <w:lang w:val="en-US" w:eastAsia="zh-CN"/>
        </w:rPr>
        <w:t>鼓励拓宽融资渠道。</w:t>
      </w:r>
      <w:r>
        <w:rPr>
          <w:rFonts w:hint="eastAsia" w:ascii="仿宋_GB2312" w:eastAsia="仿宋_GB2312"/>
          <w:b w:val="0"/>
          <w:bCs w:val="0"/>
          <w:sz w:val="32"/>
          <w:szCs w:val="32"/>
          <w:highlight w:val="none"/>
          <w:rtl w:val="0"/>
          <w:lang w:val="en-US" w:eastAsia="zh-CN"/>
        </w:rPr>
        <w:t>用好“四个一”普惠金融服务模式，</w:t>
      </w:r>
      <w:r>
        <w:rPr>
          <w:rFonts w:hint="eastAsia" w:ascii="仿宋_GB2312" w:hAnsi="Times New Roman" w:eastAsia="仿宋_GB2312" w:cs="Times New Roman"/>
          <w:b w:val="0"/>
          <w:bCs w:val="0"/>
          <w:color w:val="auto"/>
          <w:sz w:val="32"/>
          <w:szCs w:val="32"/>
          <w:lang w:val="en-US" w:eastAsia="zh-CN"/>
        </w:rPr>
        <w:t>支持普惠金融增量扩面，</w:t>
      </w:r>
      <w:r>
        <w:rPr>
          <w:rFonts w:hint="eastAsia" w:ascii="仿宋_GB2312" w:eastAsia="仿宋_GB2312"/>
          <w:color w:val="auto"/>
          <w:sz w:val="32"/>
          <w:szCs w:val="32"/>
          <w:u w:val="none"/>
        </w:rPr>
        <w:t>给予优质企业贷款贴息</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拨投联动、园区贷批次担保费补贴</w:t>
      </w:r>
      <w:r>
        <w:rPr>
          <w:rFonts w:ascii="仿宋_GB2312" w:eastAsia="仿宋_GB2312"/>
          <w:color w:val="auto"/>
          <w:sz w:val="32"/>
          <w:szCs w:val="32"/>
          <w:u w:val="none"/>
        </w:rPr>
        <w:t>等</w:t>
      </w:r>
      <w:r>
        <w:rPr>
          <w:rFonts w:hint="eastAsia" w:ascii="仿宋_GB2312" w:eastAsia="仿宋_GB2312"/>
          <w:color w:val="auto"/>
          <w:sz w:val="32"/>
          <w:szCs w:val="32"/>
          <w:u w:val="none"/>
        </w:rPr>
        <w:t>方面的融资</w:t>
      </w:r>
      <w:r>
        <w:rPr>
          <w:rFonts w:hint="eastAsia" w:ascii="仿宋_GB2312" w:eastAsia="仿宋_GB2312"/>
          <w:color w:val="auto"/>
          <w:sz w:val="32"/>
          <w:szCs w:val="32"/>
          <w:u w:val="none"/>
          <w:lang w:eastAsia="zh-CN"/>
        </w:rPr>
        <w:t>支持。</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textAlignment w:val="auto"/>
        <w:rPr>
          <w:rFonts w:hint="default"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bCs/>
          <w:color w:val="auto"/>
          <w:sz w:val="32"/>
          <w:szCs w:val="32"/>
          <w:lang w:val="en-US" w:eastAsia="zh-CN"/>
        </w:rPr>
        <w:t>2</w:t>
      </w:r>
      <w:r>
        <w:rPr>
          <w:rFonts w:hint="eastAsia" w:ascii="仿宋_GB2312" w:eastAsia="仿宋_GB2312" w:cs="Times New Roman"/>
          <w:b/>
          <w:bCs/>
          <w:color w:val="auto"/>
          <w:sz w:val="32"/>
          <w:szCs w:val="32"/>
          <w:lang w:val="en-US" w:eastAsia="zh-CN"/>
        </w:rPr>
        <w:t>9</w:t>
      </w:r>
      <w:r>
        <w:rPr>
          <w:rFonts w:hint="eastAsia" w:ascii="仿宋_GB2312" w:hAnsi="Times New Roman" w:eastAsia="仿宋_GB2312" w:cs="Times New Roman"/>
          <w:b/>
          <w:bCs/>
          <w:color w:val="auto"/>
          <w:sz w:val="32"/>
          <w:szCs w:val="32"/>
          <w:lang w:val="en-US" w:eastAsia="zh-CN"/>
        </w:rPr>
        <w:t>.</w:t>
      </w:r>
      <w:r>
        <w:rPr>
          <w:rFonts w:hint="eastAsia" w:ascii="仿宋_GB2312" w:eastAsia="仿宋_GB2312" w:cs="Times New Roman"/>
          <w:b/>
          <w:bCs/>
          <w:color w:val="auto"/>
          <w:sz w:val="32"/>
          <w:szCs w:val="32"/>
          <w:lang w:val="en-US" w:eastAsia="zh-CN"/>
        </w:rPr>
        <w:t>发挥</w:t>
      </w:r>
      <w:r>
        <w:rPr>
          <w:rFonts w:hint="eastAsia" w:ascii="仿宋_GB2312" w:hAnsi="Times New Roman" w:eastAsia="仿宋_GB2312" w:cs="Times New Roman"/>
          <w:b/>
          <w:bCs/>
          <w:color w:val="auto"/>
          <w:sz w:val="32"/>
          <w:szCs w:val="32"/>
          <w:lang w:val="en-US" w:eastAsia="zh-CN"/>
        </w:rPr>
        <w:t>基金</w:t>
      </w:r>
      <w:r>
        <w:rPr>
          <w:rFonts w:hint="eastAsia" w:ascii="仿宋_GB2312" w:eastAsia="仿宋_GB2312" w:cs="Times New Roman"/>
          <w:b/>
          <w:bCs/>
          <w:color w:val="auto"/>
          <w:sz w:val="32"/>
          <w:szCs w:val="32"/>
          <w:lang w:val="en-US" w:eastAsia="zh-CN"/>
        </w:rPr>
        <w:t>引导作用</w:t>
      </w:r>
      <w:r>
        <w:rPr>
          <w:rFonts w:hint="eastAsia" w:ascii="仿宋_GB2312" w:hAnsi="Times New Roman" w:eastAsia="仿宋_GB2312" w:cs="Times New Roman"/>
          <w:b/>
          <w:bCs/>
          <w:color w:val="auto"/>
          <w:sz w:val="32"/>
          <w:szCs w:val="32"/>
          <w:lang w:val="en-US" w:eastAsia="zh-CN"/>
        </w:rPr>
        <w:t>。</w:t>
      </w:r>
      <w:r>
        <w:rPr>
          <w:rFonts w:hint="eastAsia" w:ascii="仿宋_GB2312" w:hAnsi="Times New Roman" w:eastAsia="仿宋_GB2312" w:cs="Times New Roman"/>
          <w:b w:val="0"/>
          <w:bCs w:val="0"/>
          <w:color w:val="auto"/>
          <w:sz w:val="32"/>
          <w:szCs w:val="32"/>
          <w:lang w:val="en-US" w:eastAsia="zh-CN"/>
        </w:rPr>
        <w:t>鼓励各类投资机构</w:t>
      </w:r>
      <w:r>
        <w:rPr>
          <w:rFonts w:hint="eastAsia" w:ascii="仿宋_GB2312" w:eastAsia="仿宋_GB2312" w:cs="Times New Roman"/>
          <w:b w:val="0"/>
          <w:bCs w:val="0"/>
          <w:color w:val="auto"/>
          <w:sz w:val="32"/>
          <w:szCs w:val="32"/>
          <w:lang w:val="en-US" w:eastAsia="zh-CN"/>
        </w:rPr>
        <w:t>成为政府</w:t>
      </w:r>
      <w:r>
        <w:rPr>
          <w:rFonts w:hint="eastAsia" w:ascii="仿宋_GB2312" w:hAnsi="Times New Roman" w:eastAsia="仿宋_GB2312" w:cs="Times New Roman"/>
          <w:b w:val="0"/>
          <w:bCs w:val="0"/>
          <w:color w:val="auto"/>
          <w:sz w:val="32"/>
          <w:szCs w:val="32"/>
          <w:lang w:val="en-US" w:eastAsia="zh-CN"/>
        </w:rPr>
        <w:t>“投资合伙人”</w:t>
      </w:r>
      <w:r>
        <w:rPr>
          <w:rFonts w:hint="eastAsia" w:ascii="仿宋_GB2312" w:eastAsia="仿宋_GB2312" w:cs="Times New Roman"/>
          <w:b w:val="0"/>
          <w:bCs w:val="0"/>
          <w:color w:val="auto"/>
          <w:sz w:val="32"/>
          <w:szCs w:val="32"/>
          <w:lang w:val="en-US" w:eastAsia="zh-CN"/>
        </w:rPr>
        <w:t>，</w:t>
      </w:r>
      <w:r>
        <w:rPr>
          <w:rFonts w:hint="eastAsia" w:ascii="仿宋_GB2312" w:hAnsi="Times New Roman" w:eastAsia="仿宋_GB2312" w:cs="Times New Roman"/>
          <w:b w:val="0"/>
          <w:bCs w:val="0"/>
          <w:color w:val="auto"/>
          <w:sz w:val="32"/>
          <w:szCs w:val="32"/>
          <w:lang w:val="en-US" w:eastAsia="zh-CN"/>
        </w:rPr>
        <w:t>对符合</w:t>
      </w:r>
      <w:r>
        <w:rPr>
          <w:rFonts w:hint="eastAsia" w:ascii="仿宋_GB2312" w:eastAsia="仿宋_GB2312" w:cs="Times New Roman"/>
          <w:b w:val="0"/>
          <w:bCs w:val="0"/>
          <w:color w:val="auto"/>
          <w:sz w:val="32"/>
          <w:szCs w:val="32"/>
          <w:lang w:val="en-US" w:eastAsia="zh-CN"/>
        </w:rPr>
        <w:t>区内</w:t>
      </w:r>
      <w:r>
        <w:rPr>
          <w:rFonts w:hint="eastAsia" w:ascii="仿宋_GB2312" w:hAnsi="Times New Roman" w:eastAsia="仿宋_GB2312" w:cs="Times New Roman"/>
          <w:b w:val="0"/>
          <w:bCs w:val="0"/>
          <w:color w:val="auto"/>
          <w:sz w:val="32"/>
          <w:szCs w:val="32"/>
          <w:lang w:val="en-US" w:eastAsia="zh-CN"/>
        </w:rPr>
        <w:t>产业导向的企业进行投资，对显著推动区域经济发展的机构给予一定奖励。</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七、鼓励企业引育人才</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eastAsia" w:ascii="仿宋_GB2312" w:hAnsi="Times New Roman" w:eastAsia="仿宋_GB2312" w:cs="Times New Roman"/>
          <w:b/>
          <w:bCs/>
          <w:color w:val="auto"/>
          <w:sz w:val="32"/>
          <w:szCs w:val="32"/>
          <w:lang w:val="en-US" w:eastAsia="zh-CN"/>
        </w:rPr>
      </w:pPr>
      <w:r>
        <w:rPr>
          <w:rFonts w:hint="eastAsia" w:ascii="仿宋_GB2312" w:eastAsia="仿宋_GB2312" w:cs="Times New Roman"/>
          <w:b/>
          <w:bCs/>
          <w:color w:val="auto"/>
          <w:sz w:val="32"/>
          <w:szCs w:val="32"/>
          <w:lang w:val="en-US" w:eastAsia="zh-CN"/>
        </w:rPr>
        <w:t>30</w:t>
      </w:r>
      <w:r>
        <w:rPr>
          <w:rFonts w:hint="eastAsia" w:ascii="仿宋_GB2312" w:hAnsi="Times New Roman" w:eastAsia="仿宋_GB2312" w:cs="Times New Roman"/>
          <w:b/>
          <w:bCs/>
          <w:color w:val="auto"/>
          <w:sz w:val="32"/>
          <w:szCs w:val="32"/>
          <w:lang w:val="en-US" w:eastAsia="zh-CN"/>
        </w:rPr>
        <w:t>.加快招引高端人才。</w:t>
      </w:r>
      <w:r>
        <w:rPr>
          <w:rFonts w:hint="eastAsia" w:ascii="仿宋_GB2312" w:hAnsi="Times New Roman" w:eastAsia="仿宋_GB2312" w:cs="Times New Roman"/>
          <w:b w:val="0"/>
          <w:bCs w:val="0"/>
          <w:color w:val="auto"/>
          <w:sz w:val="32"/>
          <w:szCs w:val="32"/>
          <w:lang w:val="en-US" w:eastAsia="zh-CN"/>
        </w:rPr>
        <w:t>激励企业充分发挥用人主体作用，</w:t>
      </w:r>
      <w:r>
        <w:rPr>
          <w:rFonts w:hint="eastAsia" w:ascii="仿宋_GB2312" w:hAnsi="仿宋_GB2312" w:eastAsia="仿宋_GB2312" w:cs="仿宋_GB2312"/>
          <w:b w:val="0"/>
          <w:bCs w:val="0"/>
          <w:sz w:val="32"/>
          <w:szCs w:val="32"/>
          <w:lang w:eastAsia="zh-CN"/>
        </w:rPr>
        <w:t>加快壮大更具竞争力的高层次创新人才队伍，</w:t>
      </w:r>
      <w:r>
        <w:rPr>
          <w:rFonts w:hint="eastAsia" w:ascii="仿宋_GB2312" w:hAnsi="等线 Light" w:eastAsia="仿宋_GB2312"/>
          <w:color w:val="auto"/>
          <w:sz w:val="32"/>
          <w:szCs w:val="32"/>
          <w:u w:val="none"/>
          <w:lang w:eastAsia="zh-CN"/>
        </w:rPr>
        <w:t>对承担重大项目、入选人才计划或有突出贡献</w:t>
      </w:r>
      <w:r>
        <w:rPr>
          <w:rFonts w:hint="eastAsia" w:ascii="仿宋_GB2312" w:hAnsi="等线 Light" w:eastAsia="仿宋_GB2312"/>
          <w:color w:val="auto"/>
          <w:sz w:val="32"/>
          <w:szCs w:val="32"/>
          <w:u w:val="none"/>
          <w:lang w:val="en-US" w:eastAsia="zh-CN"/>
        </w:rPr>
        <w:t>的产业人才</w:t>
      </w:r>
      <w:r>
        <w:rPr>
          <w:rFonts w:hint="eastAsia" w:ascii="仿宋_GB2312" w:hAnsi="等线 Light" w:eastAsia="仿宋_GB2312"/>
          <w:color w:val="auto"/>
          <w:sz w:val="32"/>
          <w:szCs w:val="32"/>
          <w:u w:val="none"/>
          <w:lang w:eastAsia="zh-CN"/>
        </w:rPr>
        <w:t>，给予一定奖励。</w:t>
      </w:r>
    </w:p>
    <w:p>
      <w:pPr>
        <w:keepNext w:val="0"/>
        <w:keepLines w:val="0"/>
        <w:pageBreakBefore w:val="0"/>
        <w:widowControl w:val="0"/>
        <w:kinsoku/>
        <w:wordWrap/>
        <w:overflowPunct/>
        <w:topLinePunct w:val="0"/>
        <w:autoSpaceDE/>
        <w:autoSpaceDN/>
        <w:bidi w:val="0"/>
        <w:spacing w:line="600" w:lineRule="exact"/>
        <w:ind w:left="0" w:leftChars="0" w:firstLine="643"/>
        <w:jc w:val="both"/>
        <w:textAlignment w:val="auto"/>
        <w:rPr>
          <w:rFonts w:hint="eastAsia" w:ascii="仿宋_GB2312" w:hAnsi="等线 Light" w:eastAsia="仿宋_GB2312"/>
          <w:color w:val="auto"/>
          <w:sz w:val="32"/>
          <w:szCs w:val="32"/>
          <w:u w:val="none"/>
        </w:rPr>
      </w:pPr>
      <w:r>
        <w:rPr>
          <w:rFonts w:hint="eastAsia" w:ascii="仿宋_GB2312" w:eastAsia="仿宋_GB2312" w:cs="Times New Roman"/>
          <w:b/>
          <w:bCs/>
          <w:color w:val="auto"/>
          <w:sz w:val="32"/>
          <w:szCs w:val="32"/>
          <w:lang w:val="en-US" w:eastAsia="zh-CN"/>
        </w:rPr>
        <w:t>31</w:t>
      </w:r>
      <w:r>
        <w:rPr>
          <w:rFonts w:hint="eastAsia" w:ascii="仿宋_GB2312" w:hAnsi="Times New Roman" w:eastAsia="仿宋_GB2312" w:cs="Times New Roman"/>
          <w:b/>
          <w:bCs/>
          <w:color w:val="auto"/>
          <w:sz w:val="32"/>
          <w:szCs w:val="32"/>
          <w:lang w:val="en-US" w:eastAsia="zh-CN"/>
        </w:rPr>
        <w:t>.强化人才服务保障。</w:t>
      </w:r>
      <w:r>
        <w:rPr>
          <w:rFonts w:hint="eastAsia" w:ascii="仿宋_GB2312" w:hAnsi="Times New Roman" w:eastAsia="仿宋_GB2312" w:cs="Times New Roman"/>
          <w:color w:val="auto"/>
          <w:sz w:val="32"/>
          <w:szCs w:val="32"/>
          <w:u w:val="none"/>
        </w:rPr>
        <w:t>加强人才</w:t>
      </w:r>
      <w:r>
        <w:rPr>
          <w:rFonts w:hint="eastAsia" w:ascii="仿宋_GB2312" w:hAnsi="Times New Roman" w:eastAsia="仿宋_GB2312" w:cs="Times New Roman"/>
          <w:color w:val="auto"/>
          <w:sz w:val="32"/>
          <w:szCs w:val="32"/>
          <w:u w:val="none"/>
          <w:lang w:eastAsia="zh-CN"/>
        </w:rPr>
        <w:t>服务</w:t>
      </w:r>
      <w:r>
        <w:rPr>
          <w:rFonts w:hint="eastAsia" w:ascii="仿宋_GB2312" w:hAnsi="Times New Roman" w:eastAsia="仿宋_GB2312" w:cs="Times New Roman"/>
          <w:color w:val="auto"/>
          <w:sz w:val="32"/>
          <w:szCs w:val="32"/>
          <w:u w:val="none"/>
        </w:rPr>
        <w:t>保障，</w:t>
      </w:r>
      <w:r>
        <w:rPr>
          <w:rFonts w:hint="eastAsia" w:ascii="仿宋_GB2312" w:hAnsi="等线 Light" w:eastAsia="仿宋_GB2312"/>
          <w:color w:val="auto"/>
          <w:sz w:val="32"/>
          <w:szCs w:val="32"/>
          <w:u w:val="none"/>
        </w:rPr>
        <w:t>对企业引进或者培育符合条件的产业人才，</w:t>
      </w:r>
      <w:r>
        <w:rPr>
          <w:rFonts w:hint="eastAsia" w:ascii="仿宋_GB2312" w:hAnsi="等线 Light" w:eastAsia="仿宋_GB2312"/>
          <w:color w:val="auto"/>
          <w:sz w:val="32"/>
          <w:szCs w:val="32"/>
          <w:u w:val="none"/>
          <w:lang w:eastAsia="zh-CN"/>
        </w:rPr>
        <w:t>给予人才安居、生活补贴、医疗教育、创业指导等特色服务。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eastAsia="仿宋_GB2312" w:cs="Times New Roman"/>
          <w:b/>
          <w:bCs/>
          <w:color w:val="auto"/>
          <w:sz w:val="32"/>
          <w:szCs w:val="32"/>
          <w:lang w:val="en-US" w:eastAsia="zh-CN"/>
        </w:rPr>
        <w:t>32</w:t>
      </w:r>
      <w:r>
        <w:rPr>
          <w:rFonts w:hint="eastAsia" w:ascii="仿宋_GB2312" w:hAnsi="Times New Roman" w:eastAsia="仿宋_GB2312" w:cs="Times New Roman"/>
          <w:b/>
          <w:bCs/>
          <w:color w:val="auto"/>
          <w:sz w:val="32"/>
          <w:szCs w:val="32"/>
          <w:lang w:val="en-US" w:eastAsia="zh-CN"/>
        </w:rPr>
        <w:t>.打造育才平台载体。</w:t>
      </w:r>
      <w:r>
        <w:rPr>
          <w:rFonts w:hint="eastAsia" w:ascii="仿宋_GB2312" w:hAnsi="Times New Roman" w:eastAsia="仿宋_GB2312" w:cs="Times New Roman"/>
          <w:b w:val="0"/>
          <w:bCs w:val="0"/>
          <w:color w:val="auto"/>
          <w:sz w:val="32"/>
          <w:szCs w:val="32"/>
          <w:lang w:val="en-US" w:eastAsia="zh-CN"/>
        </w:rPr>
        <w:t>持续推动人才链、产业链深度融合，</w:t>
      </w:r>
      <w:r>
        <w:rPr>
          <w:rFonts w:hint="eastAsia" w:ascii="仿宋_GB2312" w:eastAsia="仿宋_GB2312" w:cs="Times New Roman"/>
          <w:b w:val="0"/>
          <w:bCs w:val="0"/>
          <w:color w:val="auto"/>
          <w:sz w:val="32"/>
          <w:szCs w:val="32"/>
          <w:lang w:val="en-US" w:eastAsia="zh-CN"/>
        </w:rPr>
        <w:t>鼓励开展产教融合示范基地、人才实训基地建设，</w:t>
      </w:r>
      <w:r>
        <w:rPr>
          <w:rFonts w:hint="eastAsia" w:ascii="仿宋_GB2312" w:hAnsi="仿宋_GB2312" w:eastAsia="仿宋_GB2312" w:cs="仿宋_GB2312"/>
          <w:b w:val="0"/>
          <w:bCs w:val="0"/>
          <w:sz w:val="32"/>
          <w:szCs w:val="32"/>
          <w:lang w:eastAsia="zh-CN"/>
        </w:rPr>
        <w:t>为产业创新发展提供智力支撑，</w:t>
      </w:r>
      <w:r>
        <w:rPr>
          <w:rFonts w:hint="eastAsia" w:ascii="仿宋_GB2312" w:hAnsi="仿宋_GB2312" w:eastAsia="仿宋_GB2312" w:cs="仿宋_GB2312"/>
          <w:b w:val="0"/>
          <w:bCs w:val="0"/>
          <w:sz w:val="32"/>
          <w:szCs w:val="32"/>
          <w:lang w:val="en-US" w:eastAsia="zh-CN"/>
        </w:rPr>
        <w:t>对引才育才成效显著的</w:t>
      </w:r>
      <w:r>
        <w:rPr>
          <w:rFonts w:hint="eastAsia" w:ascii="仿宋_GB2312" w:hAnsi="仿宋_GB2312" w:eastAsia="仿宋_GB2312" w:cs="仿宋_GB2312"/>
          <w:b w:val="0"/>
          <w:bCs w:val="0"/>
          <w:sz w:val="32"/>
          <w:szCs w:val="32"/>
          <w:lang w:eastAsia="zh-CN"/>
        </w:rPr>
        <w:t>各类平台载体给予一定奖励。</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八、鼓励企业宣传推广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s="Times New Roman"/>
          <w:b/>
          <w:bCs/>
          <w:color w:val="auto"/>
          <w:sz w:val="32"/>
          <w:szCs w:val="32"/>
          <w:lang w:val="en-US" w:eastAsia="zh-CN"/>
        </w:rPr>
        <w:t>33</w:t>
      </w:r>
      <w:r>
        <w:rPr>
          <w:rFonts w:hint="eastAsia" w:ascii="仿宋_GB2312" w:hAnsi="Times New Roman" w:eastAsia="仿宋_GB2312" w:cs="Times New Roman"/>
          <w:b/>
          <w:bCs/>
          <w:color w:val="auto"/>
          <w:sz w:val="32"/>
          <w:szCs w:val="32"/>
          <w:lang w:val="en-US" w:eastAsia="zh-CN"/>
        </w:rPr>
        <w:t>.提升重大活动影响力。</w:t>
      </w:r>
      <w:r>
        <w:rPr>
          <w:rFonts w:hint="eastAsia" w:ascii="仿宋_GB2312" w:hAnsi="Times New Roman" w:eastAsia="仿宋_GB2312" w:cs="Times New Roman"/>
          <w:b w:val="0"/>
          <w:bCs w:val="0"/>
          <w:color w:val="auto"/>
          <w:sz w:val="32"/>
          <w:szCs w:val="32"/>
          <w:lang w:val="en-US" w:eastAsia="zh-CN"/>
        </w:rPr>
        <w:t>鼓励企业积极参加或举办各类助推产业发展的重大活动，</w:t>
      </w:r>
      <w:r>
        <w:rPr>
          <w:rFonts w:hint="eastAsia" w:ascii="仿宋_GB2312" w:eastAsia="仿宋_GB2312"/>
          <w:color w:val="auto"/>
          <w:sz w:val="32"/>
          <w:szCs w:val="32"/>
        </w:rPr>
        <w:t>对参加境内外重要展会、交流活动的企业给予</w:t>
      </w:r>
      <w:r>
        <w:rPr>
          <w:rFonts w:hint="eastAsia" w:ascii="仿宋_GB2312" w:eastAsia="仿宋_GB2312"/>
          <w:color w:val="auto"/>
          <w:sz w:val="32"/>
          <w:szCs w:val="32"/>
          <w:lang w:eastAsia="zh-CN"/>
        </w:rPr>
        <w:t>支持</w:t>
      </w:r>
      <w:r>
        <w:rPr>
          <w:rFonts w:hint="eastAsia" w:ascii="仿宋_GB2312" w:eastAsia="仿宋_GB2312"/>
          <w:color w:val="auto"/>
          <w:sz w:val="32"/>
          <w:szCs w:val="32"/>
        </w:rPr>
        <w:t>。对参展单位给予布展费用</w:t>
      </w:r>
      <w:r>
        <w:rPr>
          <w:rFonts w:hint="eastAsia" w:ascii="仿宋_GB2312" w:eastAsia="仿宋_GB2312"/>
          <w:color w:val="auto"/>
          <w:sz w:val="32"/>
          <w:szCs w:val="32"/>
          <w:lang w:val="en-US" w:eastAsia="zh-CN"/>
        </w:rPr>
        <w:t>奖励</w:t>
      </w:r>
      <w:r>
        <w:rPr>
          <w:rFonts w:hint="eastAsia" w:ascii="仿宋_GB2312" w:eastAsia="仿宋_GB2312"/>
          <w:color w:val="auto"/>
          <w:sz w:val="32"/>
          <w:szCs w:val="32"/>
        </w:rPr>
        <w:t>；对举办宣传推广企业品牌或产品的活动，按活动支出费用予以</w:t>
      </w:r>
      <w:r>
        <w:rPr>
          <w:rFonts w:hint="eastAsia" w:ascii="仿宋_GB2312" w:eastAsia="仿宋_GB2312"/>
          <w:color w:val="auto"/>
          <w:sz w:val="32"/>
          <w:szCs w:val="32"/>
          <w:lang w:val="en-US" w:eastAsia="zh-CN"/>
        </w:rPr>
        <w:t>奖励</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olor w:val="auto"/>
          <w:sz w:val="32"/>
          <w:szCs w:val="32"/>
        </w:rPr>
      </w:pPr>
      <w:r>
        <w:rPr>
          <w:rFonts w:hint="eastAsia" w:ascii="仿宋_GB2312" w:hAnsi="Calibri" w:eastAsia="仿宋_GB2312"/>
          <w:b/>
          <w:bCs/>
          <w:color w:val="auto"/>
          <w:sz w:val="32"/>
          <w:szCs w:val="32"/>
          <w:lang w:val="en-US" w:eastAsia="zh-CN"/>
        </w:rPr>
        <w:t>34.支持企业开展品牌建设。</w:t>
      </w:r>
      <w:r>
        <w:rPr>
          <w:rFonts w:hint="eastAsia" w:ascii="仿宋_GB2312" w:hAnsi="Calibri" w:eastAsia="仿宋_GB2312"/>
          <w:b w:val="0"/>
          <w:bCs w:val="0"/>
          <w:color w:val="auto"/>
          <w:sz w:val="32"/>
          <w:szCs w:val="32"/>
          <w:lang w:val="en-US" w:eastAsia="zh-CN"/>
        </w:rPr>
        <w:t>鼓励企业持续提升影响力和打响知名度，对在促进本区招商引资、区域影响力等方面取得突出成效的企业给予一定奖励。支持企业参与中国创新创业大赛等各类赛事，对取得优异成绩的企业给予奖励。</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eastAsia="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各</w:t>
      </w:r>
      <w:r>
        <w:rPr>
          <w:rFonts w:hint="eastAsia" w:eastAsia="仿宋_GB2312"/>
          <w:color w:val="auto"/>
          <w:sz w:val="32"/>
          <w:szCs w:val="32"/>
          <w:lang w:val="en-US" w:eastAsia="zh-CN"/>
        </w:rPr>
        <w:t>产业部门</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lang w:eastAsia="zh-CN"/>
        </w:rPr>
        <w:t>产业发展导向制定</w:t>
      </w:r>
      <w:r>
        <w:rPr>
          <w:rFonts w:hint="eastAsia" w:ascii="仿宋_GB2312" w:hAnsi="仿宋_GB2312" w:eastAsia="仿宋_GB2312" w:cs="仿宋_GB2312"/>
          <w:color w:val="auto"/>
          <w:sz w:val="32"/>
          <w:szCs w:val="32"/>
          <w:lang w:val="en-US" w:eastAsia="zh-CN"/>
        </w:rPr>
        <w:t>专项政策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各镇、街道，嘉定工业区、菊园新区管委会</w:t>
      </w:r>
      <w:r>
        <w:rPr>
          <w:rFonts w:hint="eastAsia" w:ascii="仿宋_GB2312" w:hAnsi="仿宋_GB2312" w:eastAsia="仿宋_GB2312" w:cs="仿宋_GB2312"/>
          <w:color w:val="auto"/>
          <w:sz w:val="32"/>
          <w:szCs w:val="32"/>
          <w:lang w:val="en-US" w:eastAsia="zh-CN"/>
        </w:rPr>
        <w:t>结合实际情况及产业发展需要</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lang w:val="en-US" w:eastAsia="zh-CN"/>
        </w:rPr>
        <w:t>街镇</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lang w:val="en-US" w:eastAsia="zh-CN"/>
        </w:rPr>
        <w:t>并同步明确相应的资金管理办法</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本政策措施适用于符合</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区产业发展</w:t>
      </w:r>
      <w:r>
        <w:rPr>
          <w:rFonts w:hint="eastAsia" w:ascii="仿宋_GB2312" w:hAnsi="仿宋_GB2312" w:eastAsia="仿宋_GB2312" w:cs="仿宋_GB2312"/>
          <w:color w:val="auto"/>
          <w:sz w:val="32"/>
          <w:szCs w:val="32"/>
          <w:lang w:val="en-US" w:eastAsia="zh-CN"/>
        </w:rPr>
        <w:t>方向</w:t>
      </w:r>
      <w:r>
        <w:rPr>
          <w:rFonts w:hint="eastAsia" w:ascii="仿宋_GB2312" w:hAnsi="仿宋_GB2312" w:eastAsia="仿宋_GB2312" w:cs="仿宋_GB2312"/>
          <w:color w:val="auto"/>
          <w:sz w:val="32"/>
          <w:szCs w:val="32"/>
        </w:rPr>
        <w:t>的各类法人和非法人组织。</w:t>
      </w:r>
    </w:p>
    <w:p>
      <w:pPr>
        <w:pStyle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支持资金可以采用补助、奖励、贷款贴息等方式，并符合本区财政扶持政策管理规范。</w:t>
      </w:r>
    </w:p>
    <w:p>
      <w:pPr>
        <w:pStyle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4.本意见自颁布之日起实施，有效期至2025年12月31日，由嘉定区人民政府负责解释，在实施过程中如需完善可视实际情况适时调整。</w:t>
      </w:r>
    </w:p>
    <w:p>
      <w:pPr>
        <w:keepNext w:val="0"/>
        <w:keepLines w:val="0"/>
        <w:pageBreakBefore w:val="0"/>
        <w:widowControl w:val="0"/>
        <w:kinsoku/>
        <w:wordWrap/>
        <w:overflowPunct/>
        <w:topLinePunct w:val="0"/>
        <w:autoSpaceDE/>
        <w:autoSpaceDN/>
        <w:bidi w:val="0"/>
        <w:spacing w:line="600" w:lineRule="exact"/>
        <w:ind w:left="0" w:leftChars="0" w:right="0" w:firstLine="4617" w:firstLineChars="1443"/>
        <w:contextualSpacing/>
        <w:jc w:val="center"/>
        <w:textAlignment w:val="auto"/>
        <w:rPr>
          <w:rFonts w:hint="eastAsia" w:ascii="仿宋_GB2312" w:hAnsi="Calibri" w:eastAsia="仿宋_GB2312" w:cs="Times New Roman"/>
          <w:color w:val="000000"/>
          <w:sz w:val="32"/>
          <w:szCs w:val="32"/>
          <w:lang w:eastAsia="zh-CN"/>
        </w:rPr>
      </w:pPr>
      <w:r>
        <w:rPr>
          <w:rFonts w:hint="eastAsia" w:ascii="仿宋_GB2312" w:hAnsi="Calibri" w:eastAsia="仿宋_GB2312" w:cs="Times New Roman"/>
          <w:color w:val="000000"/>
          <w:sz w:val="32"/>
          <w:szCs w:val="32"/>
          <w:lang w:eastAsia="zh-CN"/>
        </w:rPr>
        <w:t>上海市</w:t>
      </w:r>
      <w:r>
        <w:rPr>
          <w:rFonts w:ascii="仿宋_GB2312" w:hAnsi="Calibri" w:eastAsia="仿宋_GB2312" w:cs="Times New Roman"/>
          <w:color w:val="000000"/>
          <w:sz w:val="32"/>
          <w:szCs w:val="32"/>
        </w:rPr>
        <w:t>嘉定区</w:t>
      </w:r>
      <w:r>
        <w:rPr>
          <w:rFonts w:hint="eastAsia" w:ascii="仿宋_GB2312" w:hAnsi="Calibri" w:eastAsia="仿宋_GB2312" w:cs="Times New Roman"/>
          <w:color w:val="000000"/>
          <w:sz w:val="32"/>
          <w:szCs w:val="32"/>
          <w:lang w:eastAsia="zh-CN"/>
        </w:rPr>
        <w:t>人民政府</w:t>
      </w:r>
    </w:p>
    <w:p>
      <w:pPr>
        <w:keepNext w:val="0"/>
        <w:keepLines w:val="0"/>
        <w:pageBreakBefore w:val="0"/>
        <w:widowControl w:val="0"/>
        <w:kinsoku/>
        <w:wordWrap/>
        <w:overflowPunct/>
        <w:topLinePunct w:val="0"/>
        <w:autoSpaceDE/>
        <w:autoSpaceDN/>
        <w:bidi w:val="0"/>
        <w:spacing w:line="600" w:lineRule="exact"/>
        <w:ind w:left="0" w:leftChars="0" w:right="0" w:firstLine="4617" w:firstLineChars="1443"/>
        <w:contextualSpacing/>
        <w:jc w:val="center"/>
        <w:textAlignment w:val="auto"/>
        <w:rPr>
          <w:rFonts w:hint="eastAsia"/>
          <w:lang w:val="en-US" w:eastAsia="zh-CN"/>
        </w:rPr>
      </w:pPr>
      <w:r>
        <w:rPr>
          <w:rFonts w:hint="eastAsia" w:ascii="仿宋_GB2312" w:hAnsi="Calibri" w:eastAsia="仿宋_GB2312" w:cs="Times New Roman"/>
          <w:color w:val="000000"/>
          <w:sz w:val="32"/>
          <w:szCs w:val="32"/>
        </w:rPr>
        <w:t>202</w:t>
      </w:r>
      <w:r>
        <w:rPr>
          <w:rFonts w:hint="eastAsia" w:ascii="仿宋_GB2312" w:hAnsi="Calibri" w:eastAsia="仿宋_GB2312" w:cs="Times New Roman"/>
          <w:color w:val="000000"/>
          <w:sz w:val="32"/>
          <w:szCs w:val="32"/>
          <w:lang w:val="en-US" w:eastAsia="zh-CN"/>
        </w:rPr>
        <w:t>4</w:t>
      </w:r>
      <w:r>
        <w:rPr>
          <w:rFonts w:hint="eastAsia" w:ascii="仿宋_GB2312" w:hAnsi="Calibri" w:eastAsia="仿宋_GB2312" w:cs="Times New Roman"/>
          <w:color w:val="000000"/>
          <w:sz w:val="32"/>
          <w:szCs w:val="32"/>
        </w:rPr>
        <w:t>年</w:t>
      </w:r>
      <w:r>
        <w:rPr>
          <w:rFonts w:hint="eastAsia" w:ascii="仿宋_GB2312" w:hAnsi="Calibri" w:eastAsia="仿宋_GB2312" w:cs="Times New Roman"/>
          <w:color w:val="000000"/>
          <w:sz w:val="32"/>
          <w:szCs w:val="32"/>
          <w:lang w:val="en-US" w:eastAsia="zh-CN"/>
        </w:rPr>
        <w:t>X</w:t>
      </w:r>
      <w:r>
        <w:rPr>
          <w:rFonts w:hint="eastAsia" w:ascii="仿宋_GB2312" w:hAnsi="Calibri" w:eastAsia="仿宋_GB2312" w:cs="Times New Roman"/>
          <w:color w:val="000000"/>
          <w:sz w:val="32"/>
          <w:szCs w:val="32"/>
        </w:rPr>
        <w:t>月</w:t>
      </w:r>
      <w:r>
        <w:rPr>
          <w:rFonts w:hint="eastAsia" w:ascii="仿宋_GB2312" w:hAnsi="Calibri" w:eastAsia="仿宋_GB2312" w:cs="Times New Roman"/>
          <w:color w:val="000000"/>
          <w:sz w:val="32"/>
          <w:szCs w:val="32"/>
          <w:lang w:val="en-US" w:eastAsia="zh-CN"/>
        </w:rPr>
        <w:t>X</w:t>
      </w:r>
      <w:r>
        <w:rPr>
          <w:rFonts w:hint="eastAsia" w:ascii="仿宋_GB2312" w:hAnsi="Calibri" w:eastAsia="仿宋_GB2312" w:cs="Times New Roman"/>
          <w:color w:val="000000"/>
          <w:sz w:val="32"/>
          <w:szCs w:val="32"/>
        </w:rPr>
        <w:t>日</w:t>
      </w:r>
    </w:p>
    <w:sectPr>
      <w:footerReference r:id="rId3" w:type="default"/>
      <w:footerReference r:id="rId4" w:type="even"/>
      <w:pgSz w:w="11906" w:h="16838"/>
      <w:pgMar w:top="1701" w:right="1559" w:bottom="1701" w:left="1559" w:header="851" w:footer="992" w:gutter="0"/>
      <w:cols w:space="0" w:num="1"/>
      <w:rtlGutter w:val="0"/>
      <w:docGrid w:type="linesAndChars" w:linePitch="315" w:charSpace="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altName w:val="Arial Unicode MS"/>
    <w:panose1 w:val="02010600030101010101"/>
    <w:charset w:val="7A"/>
    <w:family w:val="roman"/>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p>
    <w:pP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t xml:space="preserve"> -</w:t>
    </w:r>
  </w:p>
  <w:p>
    <w:pPr>
      <w:rPr>
        <w:rFonts w:hint="eastAsia"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evenAndOddHeaders w:val="1"/>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MzUyNjUzZjZhZDAyYzM0MDdjNjczNzBiOGMxN2UifQ=="/>
    <w:docVar w:name="KSO_WPS_MARK_KEY" w:val="d1a01a17-9508-4a37-b690-8a284d956503"/>
  </w:docVars>
  <w:rsids>
    <w:rsidRoot w:val="00172A27"/>
    <w:rsid w:val="000079DF"/>
    <w:rsid w:val="00025D67"/>
    <w:rsid w:val="00031173"/>
    <w:rsid w:val="0004268B"/>
    <w:rsid w:val="00072CED"/>
    <w:rsid w:val="0007371B"/>
    <w:rsid w:val="000923A1"/>
    <w:rsid w:val="00096B3C"/>
    <w:rsid w:val="00096BE8"/>
    <w:rsid w:val="000B2154"/>
    <w:rsid w:val="000B74FC"/>
    <w:rsid w:val="000D3261"/>
    <w:rsid w:val="001011BC"/>
    <w:rsid w:val="001163F4"/>
    <w:rsid w:val="00123E0F"/>
    <w:rsid w:val="0012574B"/>
    <w:rsid w:val="00141D88"/>
    <w:rsid w:val="00144847"/>
    <w:rsid w:val="00150032"/>
    <w:rsid w:val="0015431D"/>
    <w:rsid w:val="00162527"/>
    <w:rsid w:val="00170DC5"/>
    <w:rsid w:val="00174FF2"/>
    <w:rsid w:val="001A60C1"/>
    <w:rsid w:val="001B0692"/>
    <w:rsid w:val="001C047F"/>
    <w:rsid w:val="001C42B8"/>
    <w:rsid w:val="001C5D6B"/>
    <w:rsid w:val="001C7F15"/>
    <w:rsid w:val="001E126A"/>
    <w:rsid w:val="001E2A4E"/>
    <w:rsid w:val="001F6FCC"/>
    <w:rsid w:val="00204583"/>
    <w:rsid w:val="00213CF6"/>
    <w:rsid w:val="002149A5"/>
    <w:rsid w:val="00223F1A"/>
    <w:rsid w:val="00245594"/>
    <w:rsid w:val="002467B0"/>
    <w:rsid w:val="0025032A"/>
    <w:rsid w:val="00252870"/>
    <w:rsid w:val="00254DC9"/>
    <w:rsid w:val="002633FB"/>
    <w:rsid w:val="002670C9"/>
    <w:rsid w:val="00294E20"/>
    <w:rsid w:val="002A241E"/>
    <w:rsid w:val="002A7B77"/>
    <w:rsid w:val="002D4570"/>
    <w:rsid w:val="002E7608"/>
    <w:rsid w:val="002F4092"/>
    <w:rsid w:val="003029CA"/>
    <w:rsid w:val="00312D05"/>
    <w:rsid w:val="00316834"/>
    <w:rsid w:val="00320B13"/>
    <w:rsid w:val="00332C48"/>
    <w:rsid w:val="00335859"/>
    <w:rsid w:val="0033656B"/>
    <w:rsid w:val="00347A6C"/>
    <w:rsid w:val="00352AE7"/>
    <w:rsid w:val="00355D21"/>
    <w:rsid w:val="00375D04"/>
    <w:rsid w:val="00376644"/>
    <w:rsid w:val="003B621D"/>
    <w:rsid w:val="003C69A9"/>
    <w:rsid w:val="003E6028"/>
    <w:rsid w:val="0041007E"/>
    <w:rsid w:val="00420185"/>
    <w:rsid w:val="00422434"/>
    <w:rsid w:val="00423144"/>
    <w:rsid w:val="00426668"/>
    <w:rsid w:val="00436A5A"/>
    <w:rsid w:val="00445AC1"/>
    <w:rsid w:val="0047449F"/>
    <w:rsid w:val="00476453"/>
    <w:rsid w:val="00490B57"/>
    <w:rsid w:val="004A4BDF"/>
    <w:rsid w:val="004B7DEF"/>
    <w:rsid w:val="004C5B60"/>
    <w:rsid w:val="004D7936"/>
    <w:rsid w:val="004F19A8"/>
    <w:rsid w:val="004F7D14"/>
    <w:rsid w:val="00502FA8"/>
    <w:rsid w:val="0050631A"/>
    <w:rsid w:val="00510E37"/>
    <w:rsid w:val="00517931"/>
    <w:rsid w:val="005374D8"/>
    <w:rsid w:val="005578BD"/>
    <w:rsid w:val="00560439"/>
    <w:rsid w:val="005637D8"/>
    <w:rsid w:val="00571446"/>
    <w:rsid w:val="005877ED"/>
    <w:rsid w:val="005A0A80"/>
    <w:rsid w:val="005A490F"/>
    <w:rsid w:val="005B4309"/>
    <w:rsid w:val="005C17B9"/>
    <w:rsid w:val="005E1484"/>
    <w:rsid w:val="005E3FC5"/>
    <w:rsid w:val="005E5E48"/>
    <w:rsid w:val="0060080D"/>
    <w:rsid w:val="006039B4"/>
    <w:rsid w:val="00605F74"/>
    <w:rsid w:val="00623851"/>
    <w:rsid w:val="006249B2"/>
    <w:rsid w:val="0063406D"/>
    <w:rsid w:val="0065052F"/>
    <w:rsid w:val="00657EE5"/>
    <w:rsid w:val="00672E21"/>
    <w:rsid w:val="006A21DE"/>
    <w:rsid w:val="006B7998"/>
    <w:rsid w:val="006C3346"/>
    <w:rsid w:val="006E246B"/>
    <w:rsid w:val="006E742E"/>
    <w:rsid w:val="006F7095"/>
    <w:rsid w:val="007228DB"/>
    <w:rsid w:val="007417BE"/>
    <w:rsid w:val="00743698"/>
    <w:rsid w:val="0074383A"/>
    <w:rsid w:val="0075194C"/>
    <w:rsid w:val="00753361"/>
    <w:rsid w:val="00776F73"/>
    <w:rsid w:val="0078768E"/>
    <w:rsid w:val="00792863"/>
    <w:rsid w:val="00792BC5"/>
    <w:rsid w:val="007A66B3"/>
    <w:rsid w:val="007C3051"/>
    <w:rsid w:val="007D067B"/>
    <w:rsid w:val="007D7A9C"/>
    <w:rsid w:val="007E77BE"/>
    <w:rsid w:val="00807B09"/>
    <w:rsid w:val="00815CC1"/>
    <w:rsid w:val="0083049A"/>
    <w:rsid w:val="00853BAE"/>
    <w:rsid w:val="00856125"/>
    <w:rsid w:val="00874BE6"/>
    <w:rsid w:val="00885126"/>
    <w:rsid w:val="00897913"/>
    <w:rsid w:val="008A416B"/>
    <w:rsid w:val="008A7403"/>
    <w:rsid w:val="008B1441"/>
    <w:rsid w:val="008C79BC"/>
    <w:rsid w:val="008D25C5"/>
    <w:rsid w:val="008F0ED2"/>
    <w:rsid w:val="0090630A"/>
    <w:rsid w:val="00917D7D"/>
    <w:rsid w:val="00922D0E"/>
    <w:rsid w:val="00931F7F"/>
    <w:rsid w:val="00932810"/>
    <w:rsid w:val="00936DE3"/>
    <w:rsid w:val="00941A77"/>
    <w:rsid w:val="00943B9F"/>
    <w:rsid w:val="0094592D"/>
    <w:rsid w:val="00951FEE"/>
    <w:rsid w:val="00955B9D"/>
    <w:rsid w:val="009740C8"/>
    <w:rsid w:val="009870C3"/>
    <w:rsid w:val="0099263C"/>
    <w:rsid w:val="00994F57"/>
    <w:rsid w:val="009E4E14"/>
    <w:rsid w:val="009F047A"/>
    <w:rsid w:val="00A00B1C"/>
    <w:rsid w:val="00A05111"/>
    <w:rsid w:val="00A710F0"/>
    <w:rsid w:val="00A957A0"/>
    <w:rsid w:val="00AA1467"/>
    <w:rsid w:val="00AA4510"/>
    <w:rsid w:val="00AA4ECD"/>
    <w:rsid w:val="00B00EC1"/>
    <w:rsid w:val="00B2352B"/>
    <w:rsid w:val="00B254D7"/>
    <w:rsid w:val="00B305A1"/>
    <w:rsid w:val="00B307AD"/>
    <w:rsid w:val="00B456AB"/>
    <w:rsid w:val="00B80911"/>
    <w:rsid w:val="00BA6F3C"/>
    <w:rsid w:val="00BB2A62"/>
    <w:rsid w:val="00BC063A"/>
    <w:rsid w:val="00BD0C62"/>
    <w:rsid w:val="00BD5301"/>
    <w:rsid w:val="00BE7F07"/>
    <w:rsid w:val="00BF51B8"/>
    <w:rsid w:val="00C621BE"/>
    <w:rsid w:val="00C73573"/>
    <w:rsid w:val="00C924E6"/>
    <w:rsid w:val="00CB0487"/>
    <w:rsid w:val="00CC1EFB"/>
    <w:rsid w:val="00CD6579"/>
    <w:rsid w:val="00CE4028"/>
    <w:rsid w:val="00CE6425"/>
    <w:rsid w:val="00CF5127"/>
    <w:rsid w:val="00D13D4D"/>
    <w:rsid w:val="00D40135"/>
    <w:rsid w:val="00D6358C"/>
    <w:rsid w:val="00D8073A"/>
    <w:rsid w:val="00D862AA"/>
    <w:rsid w:val="00DC1DFF"/>
    <w:rsid w:val="00DD32F9"/>
    <w:rsid w:val="00DD45D3"/>
    <w:rsid w:val="00DE1738"/>
    <w:rsid w:val="00DE7231"/>
    <w:rsid w:val="00E00949"/>
    <w:rsid w:val="00E1282F"/>
    <w:rsid w:val="00E13DCF"/>
    <w:rsid w:val="00E20E61"/>
    <w:rsid w:val="00E24E04"/>
    <w:rsid w:val="00E25968"/>
    <w:rsid w:val="00E34AFF"/>
    <w:rsid w:val="00E40015"/>
    <w:rsid w:val="00E44311"/>
    <w:rsid w:val="00E45648"/>
    <w:rsid w:val="00E50AD8"/>
    <w:rsid w:val="00E650D2"/>
    <w:rsid w:val="00E66C9A"/>
    <w:rsid w:val="00EA0CDB"/>
    <w:rsid w:val="00EB7C86"/>
    <w:rsid w:val="00EC28A8"/>
    <w:rsid w:val="00EC4420"/>
    <w:rsid w:val="00ED6674"/>
    <w:rsid w:val="00F14FF3"/>
    <w:rsid w:val="00F72EBD"/>
    <w:rsid w:val="00F7329B"/>
    <w:rsid w:val="00F847F7"/>
    <w:rsid w:val="00F87072"/>
    <w:rsid w:val="00FB3FB5"/>
    <w:rsid w:val="00FC1D71"/>
    <w:rsid w:val="00FD5918"/>
    <w:rsid w:val="00FE47FD"/>
    <w:rsid w:val="00FE799A"/>
    <w:rsid w:val="01195D18"/>
    <w:rsid w:val="012D0479"/>
    <w:rsid w:val="01B85F94"/>
    <w:rsid w:val="02105DD0"/>
    <w:rsid w:val="032D29B2"/>
    <w:rsid w:val="032F2286"/>
    <w:rsid w:val="03327FC8"/>
    <w:rsid w:val="034E3CB1"/>
    <w:rsid w:val="03AD764F"/>
    <w:rsid w:val="03C74BB5"/>
    <w:rsid w:val="03E11322"/>
    <w:rsid w:val="03FF60FC"/>
    <w:rsid w:val="04590FB1"/>
    <w:rsid w:val="04826D2E"/>
    <w:rsid w:val="048B5BE2"/>
    <w:rsid w:val="04AC39B5"/>
    <w:rsid w:val="04CD61FB"/>
    <w:rsid w:val="05243941"/>
    <w:rsid w:val="054E09BE"/>
    <w:rsid w:val="056A1C9B"/>
    <w:rsid w:val="056F4927"/>
    <w:rsid w:val="05856AD5"/>
    <w:rsid w:val="05BC2F2E"/>
    <w:rsid w:val="05C018BB"/>
    <w:rsid w:val="05F6263F"/>
    <w:rsid w:val="060043AE"/>
    <w:rsid w:val="06085010"/>
    <w:rsid w:val="06135E8F"/>
    <w:rsid w:val="06340605"/>
    <w:rsid w:val="066761DB"/>
    <w:rsid w:val="068B3592"/>
    <w:rsid w:val="06C71910"/>
    <w:rsid w:val="07AD2E51"/>
    <w:rsid w:val="07D478A0"/>
    <w:rsid w:val="07DB478B"/>
    <w:rsid w:val="084762C4"/>
    <w:rsid w:val="089B04BF"/>
    <w:rsid w:val="08B53F7B"/>
    <w:rsid w:val="08C43471"/>
    <w:rsid w:val="08CD7A60"/>
    <w:rsid w:val="091D0DD3"/>
    <w:rsid w:val="092754E7"/>
    <w:rsid w:val="096F5AD2"/>
    <w:rsid w:val="0983157E"/>
    <w:rsid w:val="09B039F5"/>
    <w:rsid w:val="09DE67B4"/>
    <w:rsid w:val="0A053D41"/>
    <w:rsid w:val="0A110938"/>
    <w:rsid w:val="0A2B4EC4"/>
    <w:rsid w:val="0A79028B"/>
    <w:rsid w:val="0A8529AB"/>
    <w:rsid w:val="0A9357F1"/>
    <w:rsid w:val="0ADA0430"/>
    <w:rsid w:val="0AE20526"/>
    <w:rsid w:val="0B1F0E32"/>
    <w:rsid w:val="0B2B5A29"/>
    <w:rsid w:val="0B3806D8"/>
    <w:rsid w:val="0B3F14D4"/>
    <w:rsid w:val="0B4B1C27"/>
    <w:rsid w:val="0B7A250D"/>
    <w:rsid w:val="0B7C0033"/>
    <w:rsid w:val="0BA53A2D"/>
    <w:rsid w:val="0BF85CAB"/>
    <w:rsid w:val="0BFA1320"/>
    <w:rsid w:val="0C782EF0"/>
    <w:rsid w:val="0CD914B5"/>
    <w:rsid w:val="0CDF2F6F"/>
    <w:rsid w:val="0CF4009D"/>
    <w:rsid w:val="0CF87B8D"/>
    <w:rsid w:val="0D020A0B"/>
    <w:rsid w:val="0D026C5D"/>
    <w:rsid w:val="0D0429D6"/>
    <w:rsid w:val="0D0B3D64"/>
    <w:rsid w:val="0D200E92"/>
    <w:rsid w:val="0D3606B5"/>
    <w:rsid w:val="0D3F756A"/>
    <w:rsid w:val="0D584ACF"/>
    <w:rsid w:val="0D632F5A"/>
    <w:rsid w:val="0D703BC7"/>
    <w:rsid w:val="0D821B4C"/>
    <w:rsid w:val="0D892EDB"/>
    <w:rsid w:val="0D8E6743"/>
    <w:rsid w:val="0D9F4DDD"/>
    <w:rsid w:val="0DE93979"/>
    <w:rsid w:val="0E0013EF"/>
    <w:rsid w:val="0E082052"/>
    <w:rsid w:val="0E0D7668"/>
    <w:rsid w:val="0E407A3D"/>
    <w:rsid w:val="0E664FCA"/>
    <w:rsid w:val="0E910299"/>
    <w:rsid w:val="0E9B4C74"/>
    <w:rsid w:val="0EA7186A"/>
    <w:rsid w:val="0EB82392"/>
    <w:rsid w:val="0EDB7766"/>
    <w:rsid w:val="0EEA79A9"/>
    <w:rsid w:val="0F256C33"/>
    <w:rsid w:val="0F31382A"/>
    <w:rsid w:val="0FAE09D7"/>
    <w:rsid w:val="0FBB5D36"/>
    <w:rsid w:val="0FCE1079"/>
    <w:rsid w:val="10156CA8"/>
    <w:rsid w:val="103F5AD3"/>
    <w:rsid w:val="10412845"/>
    <w:rsid w:val="104C1404"/>
    <w:rsid w:val="10501A8E"/>
    <w:rsid w:val="107870C0"/>
    <w:rsid w:val="108C51BC"/>
    <w:rsid w:val="10B93AD7"/>
    <w:rsid w:val="10E70644"/>
    <w:rsid w:val="10EC5C5A"/>
    <w:rsid w:val="10F92125"/>
    <w:rsid w:val="11074842"/>
    <w:rsid w:val="1125116C"/>
    <w:rsid w:val="112E1DCF"/>
    <w:rsid w:val="11AB78C4"/>
    <w:rsid w:val="11C72224"/>
    <w:rsid w:val="11DA1F57"/>
    <w:rsid w:val="11DE5594"/>
    <w:rsid w:val="122431D2"/>
    <w:rsid w:val="122B630F"/>
    <w:rsid w:val="124F46F3"/>
    <w:rsid w:val="12677C09"/>
    <w:rsid w:val="12B44556"/>
    <w:rsid w:val="12C021D1"/>
    <w:rsid w:val="12C249A8"/>
    <w:rsid w:val="12E806A4"/>
    <w:rsid w:val="12FB2185"/>
    <w:rsid w:val="13182D37"/>
    <w:rsid w:val="1324792E"/>
    <w:rsid w:val="132C67E2"/>
    <w:rsid w:val="133438E9"/>
    <w:rsid w:val="13382C11"/>
    <w:rsid w:val="136E4A27"/>
    <w:rsid w:val="13961EAE"/>
    <w:rsid w:val="13C22CA3"/>
    <w:rsid w:val="140607D0"/>
    <w:rsid w:val="144125D7"/>
    <w:rsid w:val="14641FAC"/>
    <w:rsid w:val="146B2753"/>
    <w:rsid w:val="14860174"/>
    <w:rsid w:val="1496307C"/>
    <w:rsid w:val="14A30D26"/>
    <w:rsid w:val="14B922F8"/>
    <w:rsid w:val="15082937"/>
    <w:rsid w:val="151933B7"/>
    <w:rsid w:val="152A6D51"/>
    <w:rsid w:val="15453B8B"/>
    <w:rsid w:val="1548367B"/>
    <w:rsid w:val="156C55BC"/>
    <w:rsid w:val="156E30E2"/>
    <w:rsid w:val="15741E4B"/>
    <w:rsid w:val="158521DA"/>
    <w:rsid w:val="1594241D"/>
    <w:rsid w:val="15EE7D7F"/>
    <w:rsid w:val="15F5110D"/>
    <w:rsid w:val="15F829AC"/>
    <w:rsid w:val="16430362"/>
    <w:rsid w:val="16924BAE"/>
    <w:rsid w:val="16AE139D"/>
    <w:rsid w:val="16DA6555"/>
    <w:rsid w:val="16DC407B"/>
    <w:rsid w:val="17434C72"/>
    <w:rsid w:val="17D26918"/>
    <w:rsid w:val="18221F62"/>
    <w:rsid w:val="18273A1C"/>
    <w:rsid w:val="183323C1"/>
    <w:rsid w:val="18441ED8"/>
    <w:rsid w:val="18455C50"/>
    <w:rsid w:val="187F1162"/>
    <w:rsid w:val="188E75F7"/>
    <w:rsid w:val="18B52DD6"/>
    <w:rsid w:val="18D70F9E"/>
    <w:rsid w:val="18ED431E"/>
    <w:rsid w:val="18F10166"/>
    <w:rsid w:val="19006747"/>
    <w:rsid w:val="19595A2B"/>
    <w:rsid w:val="19801636"/>
    <w:rsid w:val="19866520"/>
    <w:rsid w:val="19AC242B"/>
    <w:rsid w:val="19BE3F0C"/>
    <w:rsid w:val="19F142E2"/>
    <w:rsid w:val="1A2F1BEC"/>
    <w:rsid w:val="1A5605E9"/>
    <w:rsid w:val="1A575D19"/>
    <w:rsid w:val="1A616AC1"/>
    <w:rsid w:val="1ABF1CEA"/>
    <w:rsid w:val="1AC217DA"/>
    <w:rsid w:val="1AF44089"/>
    <w:rsid w:val="1B04421B"/>
    <w:rsid w:val="1B1F6C2C"/>
    <w:rsid w:val="1B391A9C"/>
    <w:rsid w:val="1B4D3B04"/>
    <w:rsid w:val="1B754A9E"/>
    <w:rsid w:val="1B7A3E63"/>
    <w:rsid w:val="1B8C2514"/>
    <w:rsid w:val="1BE063BC"/>
    <w:rsid w:val="1C0D4CD7"/>
    <w:rsid w:val="1C1442B7"/>
    <w:rsid w:val="1C204A0A"/>
    <w:rsid w:val="1C744D56"/>
    <w:rsid w:val="1CFA34AD"/>
    <w:rsid w:val="1CFD2F9D"/>
    <w:rsid w:val="1D0C4F8F"/>
    <w:rsid w:val="1DA022A7"/>
    <w:rsid w:val="1DC53ABB"/>
    <w:rsid w:val="1DCD471E"/>
    <w:rsid w:val="1DE657E0"/>
    <w:rsid w:val="1DE859FC"/>
    <w:rsid w:val="1E5E46DB"/>
    <w:rsid w:val="1E8C45D9"/>
    <w:rsid w:val="1ED55F80"/>
    <w:rsid w:val="1EFF1D70"/>
    <w:rsid w:val="1F0B7BF4"/>
    <w:rsid w:val="1F811C64"/>
    <w:rsid w:val="1FB060A5"/>
    <w:rsid w:val="1FC85AE5"/>
    <w:rsid w:val="1FE43FA1"/>
    <w:rsid w:val="2031368A"/>
    <w:rsid w:val="205729C5"/>
    <w:rsid w:val="2059498F"/>
    <w:rsid w:val="20607ACB"/>
    <w:rsid w:val="206F120B"/>
    <w:rsid w:val="207B2B57"/>
    <w:rsid w:val="20855784"/>
    <w:rsid w:val="20E00C0C"/>
    <w:rsid w:val="20F46465"/>
    <w:rsid w:val="211F1734"/>
    <w:rsid w:val="21494A03"/>
    <w:rsid w:val="2188552B"/>
    <w:rsid w:val="21952780"/>
    <w:rsid w:val="21D4251F"/>
    <w:rsid w:val="22105521"/>
    <w:rsid w:val="223905D4"/>
    <w:rsid w:val="22431452"/>
    <w:rsid w:val="226513C9"/>
    <w:rsid w:val="229A1CF8"/>
    <w:rsid w:val="22FE4FA0"/>
    <w:rsid w:val="233A2855"/>
    <w:rsid w:val="234B4D59"/>
    <w:rsid w:val="235D02F2"/>
    <w:rsid w:val="23952182"/>
    <w:rsid w:val="23995543"/>
    <w:rsid w:val="23AE0B4E"/>
    <w:rsid w:val="240370EB"/>
    <w:rsid w:val="2421127C"/>
    <w:rsid w:val="24480FA2"/>
    <w:rsid w:val="245F0112"/>
    <w:rsid w:val="2460453E"/>
    <w:rsid w:val="2498301B"/>
    <w:rsid w:val="24BC729A"/>
    <w:rsid w:val="250D7AF6"/>
    <w:rsid w:val="25331C52"/>
    <w:rsid w:val="25587DE6"/>
    <w:rsid w:val="25675458"/>
    <w:rsid w:val="257858B7"/>
    <w:rsid w:val="25893620"/>
    <w:rsid w:val="258E0C37"/>
    <w:rsid w:val="25E35426"/>
    <w:rsid w:val="25E82A3D"/>
    <w:rsid w:val="25F71B51"/>
    <w:rsid w:val="263537A8"/>
    <w:rsid w:val="2681079B"/>
    <w:rsid w:val="268A7650"/>
    <w:rsid w:val="26CF1507"/>
    <w:rsid w:val="26E1123A"/>
    <w:rsid w:val="26E72CF4"/>
    <w:rsid w:val="2706779D"/>
    <w:rsid w:val="270B2978"/>
    <w:rsid w:val="27400656"/>
    <w:rsid w:val="275D4D64"/>
    <w:rsid w:val="27765E26"/>
    <w:rsid w:val="278C676B"/>
    <w:rsid w:val="279664C8"/>
    <w:rsid w:val="27A26C1B"/>
    <w:rsid w:val="27AE3812"/>
    <w:rsid w:val="27B32BD6"/>
    <w:rsid w:val="281C69CE"/>
    <w:rsid w:val="28212236"/>
    <w:rsid w:val="28215D92"/>
    <w:rsid w:val="2838132E"/>
    <w:rsid w:val="284546F1"/>
    <w:rsid w:val="284E28FF"/>
    <w:rsid w:val="285F4B0C"/>
    <w:rsid w:val="28732366"/>
    <w:rsid w:val="287F6F5C"/>
    <w:rsid w:val="28E374EB"/>
    <w:rsid w:val="28E82D54"/>
    <w:rsid w:val="2912392D"/>
    <w:rsid w:val="29257B04"/>
    <w:rsid w:val="29310257"/>
    <w:rsid w:val="29336DAB"/>
    <w:rsid w:val="295126A7"/>
    <w:rsid w:val="2973261D"/>
    <w:rsid w:val="297B5976"/>
    <w:rsid w:val="29B570DA"/>
    <w:rsid w:val="29BB2216"/>
    <w:rsid w:val="2A247DBB"/>
    <w:rsid w:val="2A53244F"/>
    <w:rsid w:val="2ABC6246"/>
    <w:rsid w:val="2AF552B4"/>
    <w:rsid w:val="2BA2543C"/>
    <w:rsid w:val="2C3D5164"/>
    <w:rsid w:val="2C4C53A8"/>
    <w:rsid w:val="2C5D6896"/>
    <w:rsid w:val="2C7217DF"/>
    <w:rsid w:val="2CA60F5C"/>
    <w:rsid w:val="2D0B5E47"/>
    <w:rsid w:val="2D1934DC"/>
    <w:rsid w:val="2D1B36F8"/>
    <w:rsid w:val="2D1C2FCC"/>
    <w:rsid w:val="2D23435A"/>
    <w:rsid w:val="2D2F3C20"/>
    <w:rsid w:val="2DC909F6"/>
    <w:rsid w:val="2DEA30CA"/>
    <w:rsid w:val="2E150147"/>
    <w:rsid w:val="2E3041E3"/>
    <w:rsid w:val="2E982B26"/>
    <w:rsid w:val="2EC622A9"/>
    <w:rsid w:val="2F1E74CF"/>
    <w:rsid w:val="2F25260C"/>
    <w:rsid w:val="2F2C5BB3"/>
    <w:rsid w:val="2F432A92"/>
    <w:rsid w:val="2F587F49"/>
    <w:rsid w:val="2F7013AD"/>
    <w:rsid w:val="2F7C41F6"/>
    <w:rsid w:val="2F8A246F"/>
    <w:rsid w:val="2F8C17BC"/>
    <w:rsid w:val="2FE778C1"/>
    <w:rsid w:val="30183F1E"/>
    <w:rsid w:val="301F52AD"/>
    <w:rsid w:val="30240B15"/>
    <w:rsid w:val="30297EDA"/>
    <w:rsid w:val="306D76F4"/>
    <w:rsid w:val="30C419B0"/>
    <w:rsid w:val="30C77358"/>
    <w:rsid w:val="30E738F1"/>
    <w:rsid w:val="30FA7AC8"/>
    <w:rsid w:val="31442AF1"/>
    <w:rsid w:val="31576CC8"/>
    <w:rsid w:val="316023F9"/>
    <w:rsid w:val="3179279B"/>
    <w:rsid w:val="31A041CB"/>
    <w:rsid w:val="31E63BA8"/>
    <w:rsid w:val="31E85B72"/>
    <w:rsid w:val="31F369F1"/>
    <w:rsid w:val="320504D2"/>
    <w:rsid w:val="32144BB9"/>
    <w:rsid w:val="321C2A53"/>
    <w:rsid w:val="32252923"/>
    <w:rsid w:val="3236068C"/>
    <w:rsid w:val="323808A8"/>
    <w:rsid w:val="32537490"/>
    <w:rsid w:val="328C4750"/>
    <w:rsid w:val="328F5FEE"/>
    <w:rsid w:val="32F04CDF"/>
    <w:rsid w:val="332D7CE1"/>
    <w:rsid w:val="33310895"/>
    <w:rsid w:val="333C6176"/>
    <w:rsid w:val="335A3C9B"/>
    <w:rsid w:val="3387234F"/>
    <w:rsid w:val="33AE762E"/>
    <w:rsid w:val="33C341A1"/>
    <w:rsid w:val="33E505BB"/>
    <w:rsid w:val="344828F8"/>
    <w:rsid w:val="344F012B"/>
    <w:rsid w:val="347A1EC1"/>
    <w:rsid w:val="348E2A01"/>
    <w:rsid w:val="349115F2"/>
    <w:rsid w:val="349A13A6"/>
    <w:rsid w:val="34B166F0"/>
    <w:rsid w:val="34D4418C"/>
    <w:rsid w:val="34DC655F"/>
    <w:rsid w:val="34F8431E"/>
    <w:rsid w:val="35103416"/>
    <w:rsid w:val="351078BA"/>
    <w:rsid w:val="35424C9F"/>
    <w:rsid w:val="35585FE3"/>
    <w:rsid w:val="358160C2"/>
    <w:rsid w:val="36BE6EA2"/>
    <w:rsid w:val="36DD557A"/>
    <w:rsid w:val="36E52680"/>
    <w:rsid w:val="36F6663C"/>
    <w:rsid w:val="370276D6"/>
    <w:rsid w:val="371C0798"/>
    <w:rsid w:val="37265173"/>
    <w:rsid w:val="375A24F0"/>
    <w:rsid w:val="37773C20"/>
    <w:rsid w:val="37977E1F"/>
    <w:rsid w:val="38960554"/>
    <w:rsid w:val="38A547BD"/>
    <w:rsid w:val="38F4304F"/>
    <w:rsid w:val="391D267B"/>
    <w:rsid w:val="392C27E9"/>
    <w:rsid w:val="39537D75"/>
    <w:rsid w:val="395D6E46"/>
    <w:rsid w:val="398C14D9"/>
    <w:rsid w:val="399D36E6"/>
    <w:rsid w:val="39A607ED"/>
    <w:rsid w:val="39DF785B"/>
    <w:rsid w:val="39E3559D"/>
    <w:rsid w:val="39EF3F42"/>
    <w:rsid w:val="39FC21BB"/>
    <w:rsid w:val="3A1E4827"/>
    <w:rsid w:val="3A977FFD"/>
    <w:rsid w:val="3A9D6DFE"/>
    <w:rsid w:val="3AAD1707"/>
    <w:rsid w:val="3ABB2076"/>
    <w:rsid w:val="3AC21656"/>
    <w:rsid w:val="3AE72E6B"/>
    <w:rsid w:val="3B7A5A8D"/>
    <w:rsid w:val="3BBB69F8"/>
    <w:rsid w:val="3BDF3B42"/>
    <w:rsid w:val="3C236125"/>
    <w:rsid w:val="3C3419C0"/>
    <w:rsid w:val="3C3420E0"/>
    <w:rsid w:val="3C522566"/>
    <w:rsid w:val="3C834E15"/>
    <w:rsid w:val="3C8B5A78"/>
    <w:rsid w:val="3C920BB5"/>
    <w:rsid w:val="3CC03974"/>
    <w:rsid w:val="3D115F7D"/>
    <w:rsid w:val="3D4520CB"/>
    <w:rsid w:val="3D4A76E1"/>
    <w:rsid w:val="3D891FB8"/>
    <w:rsid w:val="3DB64D8C"/>
    <w:rsid w:val="3DBF1E7D"/>
    <w:rsid w:val="3E0755D2"/>
    <w:rsid w:val="3E446852"/>
    <w:rsid w:val="3E542365"/>
    <w:rsid w:val="3E6A28CF"/>
    <w:rsid w:val="3E9A1FA2"/>
    <w:rsid w:val="3EC139D3"/>
    <w:rsid w:val="3EC534C3"/>
    <w:rsid w:val="3EF20030"/>
    <w:rsid w:val="3F310B59"/>
    <w:rsid w:val="3F450160"/>
    <w:rsid w:val="3F4A1C1A"/>
    <w:rsid w:val="3F8E1B07"/>
    <w:rsid w:val="3F917849"/>
    <w:rsid w:val="4000052B"/>
    <w:rsid w:val="401F6CDA"/>
    <w:rsid w:val="40414DCB"/>
    <w:rsid w:val="40632F94"/>
    <w:rsid w:val="409163A5"/>
    <w:rsid w:val="40956EC5"/>
    <w:rsid w:val="40C55B80"/>
    <w:rsid w:val="40F41E3E"/>
    <w:rsid w:val="4137776E"/>
    <w:rsid w:val="415B2A37"/>
    <w:rsid w:val="41670862"/>
    <w:rsid w:val="4171348E"/>
    <w:rsid w:val="4185518C"/>
    <w:rsid w:val="41A27AEC"/>
    <w:rsid w:val="41A76EB0"/>
    <w:rsid w:val="41AE46E3"/>
    <w:rsid w:val="41C00B52"/>
    <w:rsid w:val="41D540AF"/>
    <w:rsid w:val="424961B9"/>
    <w:rsid w:val="42725710"/>
    <w:rsid w:val="42733236"/>
    <w:rsid w:val="42884F34"/>
    <w:rsid w:val="42A6360C"/>
    <w:rsid w:val="42CD2946"/>
    <w:rsid w:val="43AF44C4"/>
    <w:rsid w:val="43E5284B"/>
    <w:rsid w:val="43EA488A"/>
    <w:rsid w:val="43F108B7"/>
    <w:rsid w:val="43FA3B05"/>
    <w:rsid w:val="44103433"/>
    <w:rsid w:val="44114AB5"/>
    <w:rsid w:val="445826E4"/>
    <w:rsid w:val="44A122DD"/>
    <w:rsid w:val="44D854F2"/>
    <w:rsid w:val="44EB3558"/>
    <w:rsid w:val="44F71EFD"/>
    <w:rsid w:val="44F93EC7"/>
    <w:rsid w:val="453C2005"/>
    <w:rsid w:val="45611A6C"/>
    <w:rsid w:val="4565582E"/>
    <w:rsid w:val="45992FB4"/>
    <w:rsid w:val="45B44292"/>
    <w:rsid w:val="45B55914"/>
    <w:rsid w:val="45ED51AB"/>
    <w:rsid w:val="46456C98"/>
    <w:rsid w:val="46733953"/>
    <w:rsid w:val="469F0A9E"/>
    <w:rsid w:val="46D544C0"/>
    <w:rsid w:val="46EB3CE3"/>
    <w:rsid w:val="47385FAF"/>
    <w:rsid w:val="475F1FDB"/>
    <w:rsid w:val="476B0980"/>
    <w:rsid w:val="47745A86"/>
    <w:rsid w:val="479C6D8B"/>
    <w:rsid w:val="47A345BE"/>
    <w:rsid w:val="47B02837"/>
    <w:rsid w:val="480F3342"/>
    <w:rsid w:val="480F57AF"/>
    <w:rsid w:val="48313978"/>
    <w:rsid w:val="483D231C"/>
    <w:rsid w:val="4856583E"/>
    <w:rsid w:val="488066AD"/>
    <w:rsid w:val="48943F06"/>
    <w:rsid w:val="489D100D"/>
    <w:rsid w:val="48A91760"/>
    <w:rsid w:val="48B325DE"/>
    <w:rsid w:val="48BF71D5"/>
    <w:rsid w:val="48F86CBE"/>
    <w:rsid w:val="492D05E3"/>
    <w:rsid w:val="49380D36"/>
    <w:rsid w:val="49382AE4"/>
    <w:rsid w:val="496E4757"/>
    <w:rsid w:val="49971F00"/>
    <w:rsid w:val="49B4054E"/>
    <w:rsid w:val="4A407EA2"/>
    <w:rsid w:val="4A4756D4"/>
    <w:rsid w:val="4A534079"/>
    <w:rsid w:val="4A637D27"/>
    <w:rsid w:val="4A6F69D9"/>
    <w:rsid w:val="4A712751"/>
    <w:rsid w:val="4A840031"/>
    <w:rsid w:val="4A965D14"/>
    <w:rsid w:val="4AD93E52"/>
    <w:rsid w:val="4B502367"/>
    <w:rsid w:val="4B50680B"/>
    <w:rsid w:val="4B885FA4"/>
    <w:rsid w:val="4B9009B5"/>
    <w:rsid w:val="4BC32B39"/>
    <w:rsid w:val="4BF278C5"/>
    <w:rsid w:val="4C001FDF"/>
    <w:rsid w:val="4C0C0983"/>
    <w:rsid w:val="4C746529"/>
    <w:rsid w:val="4C7B3413"/>
    <w:rsid w:val="4C975D73"/>
    <w:rsid w:val="4CA3296A"/>
    <w:rsid w:val="4CAE37E9"/>
    <w:rsid w:val="4CF136D5"/>
    <w:rsid w:val="4CF80F08"/>
    <w:rsid w:val="4D4203D5"/>
    <w:rsid w:val="4D706CF0"/>
    <w:rsid w:val="4D9549A9"/>
    <w:rsid w:val="4DC262AF"/>
    <w:rsid w:val="4DDA685F"/>
    <w:rsid w:val="4DDF79D2"/>
    <w:rsid w:val="4E143B1F"/>
    <w:rsid w:val="4E263853"/>
    <w:rsid w:val="4E402B66"/>
    <w:rsid w:val="4EF37BD9"/>
    <w:rsid w:val="4EF92D15"/>
    <w:rsid w:val="4FAA2F2F"/>
    <w:rsid w:val="4FBC446F"/>
    <w:rsid w:val="4FCF7562"/>
    <w:rsid w:val="4FE65048"/>
    <w:rsid w:val="50210776"/>
    <w:rsid w:val="502C6A6D"/>
    <w:rsid w:val="50700DB5"/>
    <w:rsid w:val="508703E0"/>
    <w:rsid w:val="508C2093"/>
    <w:rsid w:val="50BE7D72"/>
    <w:rsid w:val="50C64E79"/>
    <w:rsid w:val="50CC6933"/>
    <w:rsid w:val="512C1180"/>
    <w:rsid w:val="51387B25"/>
    <w:rsid w:val="51510BE7"/>
    <w:rsid w:val="515E50B1"/>
    <w:rsid w:val="51750D79"/>
    <w:rsid w:val="51870AAC"/>
    <w:rsid w:val="519805C3"/>
    <w:rsid w:val="519D207E"/>
    <w:rsid w:val="51B318A1"/>
    <w:rsid w:val="51B64EEE"/>
    <w:rsid w:val="51CB1FF2"/>
    <w:rsid w:val="5201085F"/>
    <w:rsid w:val="52173BDE"/>
    <w:rsid w:val="52B92EE7"/>
    <w:rsid w:val="52BF7DD2"/>
    <w:rsid w:val="52DD1244"/>
    <w:rsid w:val="53000B16"/>
    <w:rsid w:val="53490667"/>
    <w:rsid w:val="53634C01"/>
    <w:rsid w:val="53F1220D"/>
    <w:rsid w:val="54517DF8"/>
    <w:rsid w:val="54815C87"/>
    <w:rsid w:val="548B2661"/>
    <w:rsid w:val="54E51D72"/>
    <w:rsid w:val="54F47C8D"/>
    <w:rsid w:val="55055F70"/>
    <w:rsid w:val="5511700B"/>
    <w:rsid w:val="551E7032"/>
    <w:rsid w:val="553D1BAE"/>
    <w:rsid w:val="554F368F"/>
    <w:rsid w:val="55512834"/>
    <w:rsid w:val="5552317F"/>
    <w:rsid w:val="556A671B"/>
    <w:rsid w:val="55886BA1"/>
    <w:rsid w:val="55B55BE8"/>
    <w:rsid w:val="55B61960"/>
    <w:rsid w:val="55BA31FE"/>
    <w:rsid w:val="560C332E"/>
    <w:rsid w:val="561641AD"/>
    <w:rsid w:val="56220DA3"/>
    <w:rsid w:val="562763BA"/>
    <w:rsid w:val="564156CE"/>
    <w:rsid w:val="5653600F"/>
    <w:rsid w:val="56813D1C"/>
    <w:rsid w:val="56921A85"/>
    <w:rsid w:val="56D2766B"/>
    <w:rsid w:val="57405985"/>
    <w:rsid w:val="57566F57"/>
    <w:rsid w:val="577B69BD"/>
    <w:rsid w:val="57914433"/>
    <w:rsid w:val="57C245EC"/>
    <w:rsid w:val="57D936E4"/>
    <w:rsid w:val="582304C7"/>
    <w:rsid w:val="58382B00"/>
    <w:rsid w:val="58407993"/>
    <w:rsid w:val="586F74D3"/>
    <w:rsid w:val="58C16652"/>
    <w:rsid w:val="58C83E84"/>
    <w:rsid w:val="58D5034F"/>
    <w:rsid w:val="59055760"/>
    <w:rsid w:val="59594ADC"/>
    <w:rsid w:val="599E2E37"/>
    <w:rsid w:val="59B166C6"/>
    <w:rsid w:val="59B241EC"/>
    <w:rsid w:val="59DD74BB"/>
    <w:rsid w:val="5A236E98"/>
    <w:rsid w:val="5A332E58"/>
    <w:rsid w:val="5A6951F3"/>
    <w:rsid w:val="5A731BCE"/>
    <w:rsid w:val="5A7E7FCF"/>
    <w:rsid w:val="5ACB7C5C"/>
    <w:rsid w:val="5AE825BC"/>
    <w:rsid w:val="5B296730"/>
    <w:rsid w:val="5B653C0C"/>
    <w:rsid w:val="5B6D2AC1"/>
    <w:rsid w:val="5B773940"/>
    <w:rsid w:val="5B810998"/>
    <w:rsid w:val="5B9938B6"/>
    <w:rsid w:val="5BAA5AC3"/>
    <w:rsid w:val="5BAD55B3"/>
    <w:rsid w:val="5BF16A5B"/>
    <w:rsid w:val="5C05719D"/>
    <w:rsid w:val="5C49708A"/>
    <w:rsid w:val="5C4C244B"/>
    <w:rsid w:val="5C4C26D6"/>
    <w:rsid w:val="5C4F0418"/>
    <w:rsid w:val="5C797243"/>
    <w:rsid w:val="5CCB5BB8"/>
    <w:rsid w:val="5CD31049"/>
    <w:rsid w:val="5D437F7D"/>
    <w:rsid w:val="5D445AA3"/>
    <w:rsid w:val="5D506C47"/>
    <w:rsid w:val="5D972BF6"/>
    <w:rsid w:val="5D9A50C1"/>
    <w:rsid w:val="5D9C768D"/>
    <w:rsid w:val="5DB449D7"/>
    <w:rsid w:val="5DB60EAB"/>
    <w:rsid w:val="5DC015CE"/>
    <w:rsid w:val="5DC6470A"/>
    <w:rsid w:val="5DCA244C"/>
    <w:rsid w:val="5DE32E78"/>
    <w:rsid w:val="5E082F75"/>
    <w:rsid w:val="5E1C257C"/>
    <w:rsid w:val="5E6D4B86"/>
    <w:rsid w:val="5EA031AD"/>
    <w:rsid w:val="5EE4753E"/>
    <w:rsid w:val="5EFA466C"/>
    <w:rsid w:val="5F487ACD"/>
    <w:rsid w:val="5F732917"/>
    <w:rsid w:val="5FA32F55"/>
    <w:rsid w:val="603040BD"/>
    <w:rsid w:val="60935106"/>
    <w:rsid w:val="609B2F18"/>
    <w:rsid w:val="60C41052"/>
    <w:rsid w:val="60E45DC1"/>
    <w:rsid w:val="61161775"/>
    <w:rsid w:val="611D2893"/>
    <w:rsid w:val="614C4F26"/>
    <w:rsid w:val="61761FA3"/>
    <w:rsid w:val="61891CD7"/>
    <w:rsid w:val="61C56BBB"/>
    <w:rsid w:val="623E0D13"/>
    <w:rsid w:val="62487DE4"/>
    <w:rsid w:val="6280757E"/>
    <w:rsid w:val="62AA45FB"/>
    <w:rsid w:val="62CD2097"/>
    <w:rsid w:val="62DB2A06"/>
    <w:rsid w:val="62DF24F6"/>
    <w:rsid w:val="62F31AFE"/>
    <w:rsid w:val="63185A08"/>
    <w:rsid w:val="63535B4C"/>
    <w:rsid w:val="636649C5"/>
    <w:rsid w:val="637C7E30"/>
    <w:rsid w:val="63C703FC"/>
    <w:rsid w:val="63D722B7"/>
    <w:rsid w:val="645A7FB4"/>
    <w:rsid w:val="646E3B0C"/>
    <w:rsid w:val="646F1658"/>
    <w:rsid w:val="64B17EC2"/>
    <w:rsid w:val="64CA2D32"/>
    <w:rsid w:val="652F276E"/>
    <w:rsid w:val="65463E44"/>
    <w:rsid w:val="65736F26"/>
    <w:rsid w:val="658B5C69"/>
    <w:rsid w:val="65C654EA"/>
    <w:rsid w:val="65F22540"/>
    <w:rsid w:val="660B4B4A"/>
    <w:rsid w:val="661C136B"/>
    <w:rsid w:val="661D0A78"/>
    <w:rsid w:val="6659436D"/>
    <w:rsid w:val="6663343E"/>
    <w:rsid w:val="666D1BC7"/>
    <w:rsid w:val="6672542F"/>
    <w:rsid w:val="668C04C1"/>
    <w:rsid w:val="66A80E51"/>
    <w:rsid w:val="67050051"/>
    <w:rsid w:val="674C3ED2"/>
    <w:rsid w:val="67670D0C"/>
    <w:rsid w:val="677671A1"/>
    <w:rsid w:val="679B2764"/>
    <w:rsid w:val="679D028A"/>
    <w:rsid w:val="67AF7FBD"/>
    <w:rsid w:val="67C021CA"/>
    <w:rsid w:val="67F24A7A"/>
    <w:rsid w:val="681542C4"/>
    <w:rsid w:val="681A40A7"/>
    <w:rsid w:val="68257291"/>
    <w:rsid w:val="686E216B"/>
    <w:rsid w:val="68703BF0"/>
    <w:rsid w:val="687436E1"/>
    <w:rsid w:val="68813643"/>
    <w:rsid w:val="689C2C37"/>
    <w:rsid w:val="68BA4E6C"/>
    <w:rsid w:val="68FE7A85"/>
    <w:rsid w:val="691D5B26"/>
    <w:rsid w:val="6922313D"/>
    <w:rsid w:val="69674FF3"/>
    <w:rsid w:val="69BB70ED"/>
    <w:rsid w:val="6A0445F0"/>
    <w:rsid w:val="6A050368"/>
    <w:rsid w:val="6A4B221F"/>
    <w:rsid w:val="6A8E65B0"/>
    <w:rsid w:val="6AC67AF8"/>
    <w:rsid w:val="6B633598"/>
    <w:rsid w:val="6BB40298"/>
    <w:rsid w:val="6BBD714D"/>
    <w:rsid w:val="6BCB7ABB"/>
    <w:rsid w:val="6BD34BC2"/>
    <w:rsid w:val="6BFD579B"/>
    <w:rsid w:val="6C021003"/>
    <w:rsid w:val="6C152AE5"/>
    <w:rsid w:val="6C474C68"/>
    <w:rsid w:val="6CEF77DA"/>
    <w:rsid w:val="6CF52602"/>
    <w:rsid w:val="6D2154B9"/>
    <w:rsid w:val="6D2D1303"/>
    <w:rsid w:val="6D372F2F"/>
    <w:rsid w:val="6D3752F5"/>
    <w:rsid w:val="6D4F0278"/>
    <w:rsid w:val="6D4F0A71"/>
    <w:rsid w:val="6DC742B3"/>
    <w:rsid w:val="6DFA6436"/>
    <w:rsid w:val="6E027099"/>
    <w:rsid w:val="6E162B44"/>
    <w:rsid w:val="6E201C15"/>
    <w:rsid w:val="6E3B25AB"/>
    <w:rsid w:val="6E9A5523"/>
    <w:rsid w:val="6EA2262A"/>
    <w:rsid w:val="6F046E40"/>
    <w:rsid w:val="6F2D283B"/>
    <w:rsid w:val="6F857F81"/>
    <w:rsid w:val="6F9D176F"/>
    <w:rsid w:val="6FF3138F"/>
    <w:rsid w:val="70311EB7"/>
    <w:rsid w:val="70381498"/>
    <w:rsid w:val="7047792D"/>
    <w:rsid w:val="70C14F73"/>
    <w:rsid w:val="70D22604"/>
    <w:rsid w:val="711F7F62"/>
    <w:rsid w:val="71241A1C"/>
    <w:rsid w:val="71285068"/>
    <w:rsid w:val="713A4D9B"/>
    <w:rsid w:val="71494FDF"/>
    <w:rsid w:val="71502811"/>
    <w:rsid w:val="718D75C1"/>
    <w:rsid w:val="719170B1"/>
    <w:rsid w:val="721101F2"/>
    <w:rsid w:val="722515A8"/>
    <w:rsid w:val="724265FE"/>
    <w:rsid w:val="72AC7F1B"/>
    <w:rsid w:val="72DC25AE"/>
    <w:rsid w:val="73125FD0"/>
    <w:rsid w:val="73816CB2"/>
    <w:rsid w:val="73A155A6"/>
    <w:rsid w:val="73CD0149"/>
    <w:rsid w:val="742742A3"/>
    <w:rsid w:val="742F2BB2"/>
    <w:rsid w:val="7447614D"/>
    <w:rsid w:val="744C3764"/>
    <w:rsid w:val="745400F1"/>
    <w:rsid w:val="74704AA1"/>
    <w:rsid w:val="747F7695"/>
    <w:rsid w:val="74CC21AE"/>
    <w:rsid w:val="75556648"/>
    <w:rsid w:val="756C2B6E"/>
    <w:rsid w:val="75866801"/>
    <w:rsid w:val="75ED6880"/>
    <w:rsid w:val="761C7166"/>
    <w:rsid w:val="762D01D0"/>
    <w:rsid w:val="76612DCA"/>
    <w:rsid w:val="76AD7DBE"/>
    <w:rsid w:val="76B15B00"/>
    <w:rsid w:val="76B37ACA"/>
    <w:rsid w:val="76DB2B7D"/>
    <w:rsid w:val="76E64D0F"/>
    <w:rsid w:val="76F8372F"/>
    <w:rsid w:val="770245AD"/>
    <w:rsid w:val="7763329E"/>
    <w:rsid w:val="77C81353"/>
    <w:rsid w:val="77ED3E16"/>
    <w:rsid w:val="78126A72"/>
    <w:rsid w:val="78210A63"/>
    <w:rsid w:val="782F13D2"/>
    <w:rsid w:val="78436C2C"/>
    <w:rsid w:val="789631FF"/>
    <w:rsid w:val="78AE679B"/>
    <w:rsid w:val="78BD69DE"/>
    <w:rsid w:val="78CF6711"/>
    <w:rsid w:val="78F9378E"/>
    <w:rsid w:val="78FD502C"/>
    <w:rsid w:val="790E2D96"/>
    <w:rsid w:val="794644CA"/>
    <w:rsid w:val="79C36276"/>
    <w:rsid w:val="79C478F8"/>
    <w:rsid w:val="79EA1A55"/>
    <w:rsid w:val="79FE72AE"/>
    <w:rsid w:val="7A5213A8"/>
    <w:rsid w:val="7A8D23E0"/>
    <w:rsid w:val="7AAF2356"/>
    <w:rsid w:val="7AF4245F"/>
    <w:rsid w:val="7B191EC6"/>
    <w:rsid w:val="7B1E128A"/>
    <w:rsid w:val="7B346CFF"/>
    <w:rsid w:val="7B4E7DC1"/>
    <w:rsid w:val="7B6B0973"/>
    <w:rsid w:val="7BBC2F7D"/>
    <w:rsid w:val="7BBD4F47"/>
    <w:rsid w:val="7BC2255D"/>
    <w:rsid w:val="7BDA3403"/>
    <w:rsid w:val="7BDC53CD"/>
    <w:rsid w:val="7C2D79D7"/>
    <w:rsid w:val="7C376AA7"/>
    <w:rsid w:val="7C3C2310"/>
    <w:rsid w:val="7C5A08E1"/>
    <w:rsid w:val="7C647170"/>
    <w:rsid w:val="7C7E237D"/>
    <w:rsid w:val="7C831CEC"/>
    <w:rsid w:val="7C857813"/>
    <w:rsid w:val="7CBA145A"/>
    <w:rsid w:val="7CCB7B80"/>
    <w:rsid w:val="7CD267D0"/>
    <w:rsid w:val="7CFA3A06"/>
    <w:rsid w:val="7D341239"/>
    <w:rsid w:val="7D5B2F52"/>
    <w:rsid w:val="7D625DA6"/>
    <w:rsid w:val="7D733B0F"/>
    <w:rsid w:val="7D7A30EF"/>
    <w:rsid w:val="7E066731"/>
    <w:rsid w:val="7E0806FB"/>
    <w:rsid w:val="7E1A3F8B"/>
    <w:rsid w:val="7E374E0C"/>
    <w:rsid w:val="7E70004F"/>
    <w:rsid w:val="7E8B6C36"/>
    <w:rsid w:val="7EB268B9"/>
    <w:rsid w:val="7EE16BC1"/>
    <w:rsid w:val="7F207CC7"/>
    <w:rsid w:val="7F572FBC"/>
    <w:rsid w:val="7F6776A3"/>
    <w:rsid w:val="7F8244DD"/>
    <w:rsid w:val="7FBA132B"/>
    <w:rsid w:val="7FCC5758"/>
    <w:rsid w:val="7FF56A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Times New Roman" w:hAnsi="Times New Roman" w:eastAsia="宋体" w:cs="Times New Roman"/>
      <w:szCs w:val="24"/>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Body Text Indent"/>
    <w:basedOn w:val="1"/>
    <w:next w:val="1"/>
    <w:qFormat/>
    <w:uiPriority w:val="0"/>
    <w:pPr>
      <w:spacing w:after="120"/>
      <w:ind w:left="420" w:leftChars="200"/>
    </w:pPr>
  </w:style>
  <w:style w:type="paragraph" w:styleId="5">
    <w:name w:val="toc 3"/>
    <w:basedOn w:val="1"/>
    <w:next w:val="1"/>
    <w:qFormat/>
    <w:locked/>
    <w:uiPriority w:val="0"/>
    <w:pPr>
      <w:ind w:left="840" w:leftChars="400"/>
    </w:pPr>
    <w:rPr>
      <w:rFonts w:ascii="Times New Roman" w:hAnsi="Times New Roman" w:eastAsia="宋体" w:cs="Times New Roman"/>
    </w:rPr>
  </w:style>
  <w:style w:type="paragraph" w:styleId="6">
    <w:name w:val="Date"/>
    <w:basedOn w:val="1"/>
    <w:next w:val="1"/>
    <w:link w:val="18"/>
    <w:qFormat/>
    <w:uiPriority w:val="0"/>
    <w:pPr>
      <w:ind w:left="100" w:leftChars="2500"/>
    </w:pPr>
  </w:style>
  <w:style w:type="paragraph" w:styleId="7">
    <w:name w:val="Balloon Text"/>
    <w:basedOn w:val="1"/>
    <w:link w:val="19"/>
    <w:semiHidden/>
    <w:qFormat/>
    <w:uiPriority w:val="0"/>
    <w:rPr>
      <w:kern w:val="0"/>
      <w:sz w:val="18"/>
      <w:szCs w:val="18"/>
    </w:rPr>
  </w:style>
  <w:style w:type="paragraph" w:styleId="8">
    <w:name w:val="footer"/>
    <w:basedOn w:val="1"/>
    <w:link w:val="20"/>
    <w:qFormat/>
    <w:uiPriority w:val="0"/>
    <w:pPr>
      <w:tabs>
        <w:tab w:val="center" w:pos="4153"/>
        <w:tab w:val="right" w:pos="8306"/>
      </w:tabs>
      <w:snapToGrid w:val="0"/>
      <w:jc w:val="left"/>
    </w:pPr>
    <w:rPr>
      <w:kern w:val="0"/>
      <w:sz w:val="18"/>
      <w:szCs w:val="18"/>
    </w:rPr>
  </w:style>
  <w:style w:type="paragraph" w:styleId="9">
    <w:name w:val="header"/>
    <w:basedOn w:val="1"/>
    <w:link w:val="21"/>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Body Text 2"/>
    <w:basedOn w:val="1"/>
    <w:next w:val="11"/>
    <w:qFormat/>
    <w:uiPriority w:val="0"/>
    <w:pPr>
      <w:widowControl w:val="0"/>
      <w:spacing w:line="600" w:lineRule="exact"/>
      <w:jc w:val="center"/>
    </w:pPr>
    <w:rPr>
      <w:rFonts w:ascii="Times New Roman" w:hAnsi="Times New Roman" w:eastAsia="方正小标宋简体" w:cs="Times New Roman"/>
      <w:kern w:val="2"/>
      <w:sz w:val="30"/>
      <w:szCs w:val="24"/>
      <w:lang w:val="en-US" w:eastAsia="zh-CN" w:bidi="ar-SA"/>
    </w:rPr>
  </w:style>
  <w:style w:type="paragraph" w:styleId="11">
    <w:name w:val="Body Text First Indent 2"/>
    <w:basedOn w:val="4"/>
    <w:next w:val="1"/>
    <w:unhideWhenUsed/>
    <w:qFormat/>
    <w:uiPriority w:val="99"/>
    <w:pPr>
      <w:ind w:firstLine="420" w:firstLineChars="200"/>
    </w:pPr>
    <w:rPr>
      <w:rFonts w:ascii="Times New Roman" w:hAnsi="Times New Roman" w:eastAsia="宋体" w:cs="Times New Roman"/>
    </w:rPr>
  </w:style>
  <w:style w:type="paragraph" w:styleId="12">
    <w:name w:val="Normal (Web)"/>
    <w:basedOn w:val="1"/>
    <w:unhideWhenUsed/>
    <w:qFormat/>
    <w:uiPriority w:val="99"/>
    <w:pPr>
      <w:spacing w:before="100" w:beforeAutospacing="1" w:after="100" w:afterAutospacing="1"/>
      <w:jc w:val="left"/>
    </w:pPr>
    <w:rPr>
      <w:kern w:val="0"/>
      <w:sz w:val="24"/>
      <w:szCs w:val="20"/>
    </w:rPr>
  </w:style>
  <w:style w:type="paragraph" w:styleId="13">
    <w:name w:val="Title"/>
    <w:basedOn w:val="1"/>
    <w:qFormat/>
    <w:locked/>
    <w:uiPriority w:val="0"/>
    <w:pPr>
      <w:spacing w:before="240" w:after="60"/>
      <w:jc w:val="center"/>
      <w:outlineLvl w:val="0"/>
    </w:pPr>
    <w:rPr>
      <w:rFonts w:ascii="Calibri Light" w:hAnsi="Calibri Light" w:eastAsia="宋体" w:cs="Times New Roman"/>
      <w:b/>
      <w:bCs/>
      <w:sz w:val="32"/>
      <w:szCs w:val="32"/>
    </w:rPr>
  </w:style>
  <w:style w:type="table" w:styleId="15">
    <w:name w:val="Table Grid"/>
    <w:basedOn w:val="14"/>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customStyle="1" w:styleId="18">
    <w:name w:val="日期 字符"/>
    <w:link w:val="6"/>
    <w:qFormat/>
    <w:uiPriority w:val="0"/>
    <w:rPr>
      <w:kern w:val="2"/>
      <w:sz w:val="21"/>
      <w:szCs w:val="24"/>
    </w:rPr>
  </w:style>
  <w:style w:type="character" w:customStyle="1" w:styleId="19">
    <w:name w:val="批注框文本 字符"/>
    <w:link w:val="7"/>
    <w:semiHidden/>
    <w:qFormat/>
    <w:locked/>
    <w:uiPriority w:val="0"/>
    <w:rPr>
      <w:rFonts w:ascii="Times New Roman" w:hAnsi="Times New Roman" w:eastAsia="宋体" w:cs="Times New Roman"/>
      <w:sz w:val="18"/>
      <w:szCs w:val="18"/>
    </w:rPr>
  </w:style>
  <w:style w:type="character" w:customStyle="1" w:styleId="20">
    <w:name w:val="页脚 字符"/>
    <w:link w:val="8"/>
    <w:qFormat/>
    <w:locked/>
    <w:uiPriority w:val="0"/>
    <w:rPr>
      <w:rFonts w:ascii="Times New Roman" w:hAnsi="Times New Roman" w:eastAsia="宋体" w:cs="Times New Roman"/>
      <w:sz w:val="18"/>
      <w:szCs w:val="18"/>
    </w:rPr>
  </w:style>
  <w:style w:type="character" w:customStyle="1" w:styleId="21">
    <w:name w:val="页眉 字符"/>
    <w:link w:val="9"/>
    <w:semiHidden/>
    <w:qFormat/>
    <w:locked/>
    <w:uiPriority w:val="0"/>
    <w:rPr>
      <w:rFonts w:ascii="Times New Roman" w:hAnsi="Times New Roman" w:eastAsia="宋体" w:cs="Times New Roman"/>
      <w:sz w:val="18"/>
      <w:szCs w:val="18"/>
    </w:rPr>
  </w:style>
  <w:style w:type="character" w:customStyle="1" w:styleId="22">
    <w:name w:val="NormalCharacter"/>
    <w:semiHidden/>
    <w:qFormat/>
    <w:uiPriority w:val="0"/>
  </w:style>
  <w:style w:type="paragraph" w:customStyle="1" w:styleId="2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2301</Words>
  <Characters>2318</Characters>
  <Lines>55</Lines>
  <Paragraphs>15</Paragraphs>
  <TotalTime>6</TotalTime>
  <ScaleCrop>false</ScaleCrop>
  <LinksUpToDate>false</LinksUpToDate>
  <CharactersWithSpaces>2434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2016-08-23T06:02:00Z</dcterms:created>
  <dc:creator>戴杰</dc:creator>
  <cp:lastModifiedBy>Soup</cp:lastModifiedBy>
  <cp:lastPrinted>2024-10-24T08:50:00Z</cp:lastPrinted>
  <dcterms:modified xsi:type="dcterms:W3CDTF">2024-10-25T06:52:29Z</dcterms:modified>
  <dc:title>嘉定区产业项目推进工作联席会议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3A6DE88DC28D42D69BBB58500B8E9B97_13</vt:lpwstr>
  </property>
</Properties>
</file>