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楷体_GB2312" w:hAnsi="黑体" w:eastAsia="楷体_GB2312"/>
          <w:sz w:val="32"/>
          <w:szCs w:val="32"/>
        </w:rPr>
      </w:pPr>
      <w:r>
        <w:rPr>
          <w:rFonts w:hint="eastAsia" w:ascii="方正小标宋简体" w:hAnsi="方正小标宋简体" w:eastAsia="方正小标宋简体" w:cs="方正小标宋简体"/>
          <w:sz w:val="44"/>
          <w:szCs w:val="44"/>
          <w:highlight w:val="none"/>
          <w:lang w:eastAsia="zh-CN"/>
        </w:rPr>
        <w:t>关于《2026-2029年上海市嘉定区区级财政农业保险保费补贴资金管理办法（草案）》的</w:t>
      </w:r>
      <w:r>
        <w:rPr>
          <w:rFonts w:hint="eastAsia" w:ascii="方正小标宋简体" w:hAnsi="黑体" w:eastAsia="方正小标宋简体" w:cs="宋体"/>
          <w:kern w:val="0"/>
          <w:sz w:val="44"/>
          <w:szCs w:val="44"/>
        </w:rPr>
        <w:t>申请立项说明</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highlight w:val="none"/>
          <w:lang w:eastAsia="zh-CN"/>
        </w:rPr>
      </w:pPr>
      <w:r>
        <w:rPr>
          <w:rFonts w:hint="eastAsia" w:ascii="黑体" w:hAnsi="黑体" w:eastAsia="黑体" w:cs="黑体"/>
          <w:sz w:val="32"/>
          <w:szCs w:val="32"/>
          <w:highlight w:val="none"/>
          <w:lang w:eastAsia="zh-CN"/>
        </w:rPr>
        <w:t>一、</w:t>
      </w:r>
      <w:r>
        <w:rPr>
          <w:rFonts w:hint="eastAsia" w:ascii="黑体" w:hAnsi="黑体" w:eastAsia="黑体"/>
          <w:bCs/>
          <w:sz w:val="32"/>
          <w:szCs w:val="32"/>
        </w:rPr>
        <w:t>立项必要性</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加强农业保险保费补贴资金管理，构建覆盖自然风险、市场风险的多层次农业保险体系，加快农业保险高质量发展，助力本区全面推进乡村振兴，根据《上海市乡村振兴专项资金管理办法》（沪农委规〔2022〕5号）、《上海市市级财政农业保险保费补贴管理办法》（沪财发〔2024〕11号）等文件精神，结合本区实际，制定本办法。同时，市财政局、市农业农村委于2024年12月31日正式印发《上海市市级财政农业保险保费补贴管理办法》（沪财发〔2024〕11号），自2025年1月1日起施行，有效期至2029年12月31日止。因我区上一轮政策于2025年12月31日到期，</w:t>
      </w:r>
      <w:r>
        <w:rPr>
          <w:rFonts w:hint="eastAsia" w:ascii="仿宋_GB2312" w:hAnsi="仿宋_GB2312" w:cs="仿宋_GB2312"/>
          <w:sz w:val="32"/>
          <w:szCs w:val="32"/>
          <w:lang w:eastAsia="zh-CN"/>
        </w:rPr>
        <w:t>故</w:t>
      </w:r>
      <w:r>
        <w:rPr>
          <w:rFonts w:hint="eastAsia" w:ascii="仿宋_GB2312" w:hAnsi="仿宋_GB2312" w:eastAsia="仿宋_GB2312" w:cs="仿宋_GB2312"/>
          <w:sz w:val="32"/>
          <w:szCs w:val="32"/>
        </w:rPr>
        <w:t>亟需修订</w:t>
      </w:r>
      <w:r>
        <w:rPr>
          <w:rFonts w:hint="eastAsia" w:ascii="仿宋_GB2312" w:hAnsi="仿宋_GB2312" w:cs="仿宋_GB2312"/>
          <w:sz w:val="32"/>
          <w:szCs w:val="32"/>
          <w:lang w:eastAsia="zh-CN"/>
        </w:rPr>
        <w:t>新一轮政策</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黑体" w:hAnsi="黑体" w:eastAsia="黑体" w:cs="黑体"/>
          <w:sz w:val="32"/>
          <w:szCs w:val="32"/>
          <w:highlight w:val="none"/>
          <w:lang w:eastAsia="zh-CN"/>
        </w:rPr>
      </w:pPr>
      <w:r>
        <w:rPr>
          <w:rFonts w:hint="eastAsia" w:ascii="黑体" w:hAnsi="黑体" w:eastAsia="黑体" w:cs="黑体"/>
          <w:sz w:val="32"/>
          <w:szCs w:val="32"/>
          <w:highlight w:val="none"/>
          <w:lang w:eastAsia="zh-CN"/>
        </w:rPr>
        <w:t>二、文件的主要内容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办法</w:t>
      </w:r>
      <w:r>
        <w:rPr>
          <w:rFonts w:hint="eastAsia" w:ascii="仿宋_GB2312" w:hAnsi="仿宋_GB2312" w:cs="仿宋_GB2312"/>
          <w:sz w:val="32"/>
          <w:szCs w:val="32"/>
          <w:lang w:eastAsia="zh-CN"/>
        </w:rPr>
        <w:t>包含总则、保费补贴范围、目录、标准、资金管理、绩效评价和监督管理、附则五章内容。主要</w:t>
      </w:r>
      <w:r>
        <w:rPr>
          <w:rFonts w:hint="eastAsia" w:ascii="仿宋_GB2312" w:hAnsi="仿宋_GB2312" w:eastAsia="仿宋_GB2312" w:cs="仿宋_GB2312"/>
          <w:sz w:val="32"/>
          <w:szCs w:val="32"/>
        </w:rPr>
        <w:t>包括保费补贴对象、保费补贴范围、目录、标准和承担比例、单位补贴保额、保险费率和保险条款、工作措施、实施日期和有效期等要求，明确了补贴对象、补贴目录、补贴范围、补贴标准。补贴对象为指在本区从事农业生产并在本区承保机构办理相关财政保费补贴险种投保手续的农户、农民专业合作社、家庭农场、农业企业以及其他农业生产经营组织。补贴目录包括市、区两级财政共同给予保险保费补贴险种，5大类;区、镇两级财政给予保险保费补贴险种，6大类。保费补贴标准和承担比例又分为市级范围保费补贴标准和承担比例及区级范围财政保费补贴标准和承担比例。</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黑体" w:hAnsi="黑体" w:eastAsia="黑体"/>
          <w:bCs/>
          <w:sz w:val="32"/>
          <w:szCs w:val="32"/>
        </w:rPr>
      </w:pPr>
      <w:r>
        <w:rPr>
          <w:rFonts w:hint="eastAsia" w:ascii="黑体" w:hAnsi="黑体" w:eastAsia="黑体"/>
          <w:bCs/>
          <w:sz w:val="32"/>
          <w:szCs w:val="32"/>
          <w:lang w:eastAsia="zh-CN"/>
        </w:rPr>
        <w:t>三、</w:t>
      </w:r>
      <w:r>
        <w:rPr>
          <w:rFonts w:hint="eastAsia" w:ascii="黑体" w:hAnsi="黑体" w:eastAsia="黑体"/>
          <w:bCs/>
          <w:sz w:val="32"/>
          <w:szCs w:val="32"/>
        </w:rPr>
        <w:t>文件的起草过程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区财政局牵头，联合</w:t>
      </w:r>
      <w:r>
        <w:rPr>
          <w:rFonts w:hint="eastAsia" w:ascii="仿宋_GB2312" w:hAnsi="仿宋_GB2312" w:cs="仿宋_GB2312"/>
          <w:sz w:val="32"/>
          <w:szCs w:val="32"/>
          <w:lang w:eastAsia="zh-CN"/>
        </w:rPr>
        <w:t>区农业农村委</w:t>
      </w:r>
      <w:r>
        <w:rPr>
          <w:rFonts w:hint="eastAsia" w:ascii="仿宋_GB2312" w:hAnsi="仿宋_GB2312" w:eastAsia="仿宋_GB2312" w:cs="仿宋_GB2312"/>
          <w:sz w:val="32"/>
          <w:szCs w:val="32"/>
        </w:rPr>
        <w:t>开展前期调研，梳理原</w:t>
      </w:r>
      <w:r>
        <w:rPr>
          <w:rFonts w:hint="eastAsia" w:ascii="仿宋_GB2312" w:hAnsi="仿宋_GB2312" w:cs="仿宋_GB2312"/>
          <w:sz w:val="32"/>
          <w:szCs w:val="32"/>
          <w:lang w:eastAsia="zh-CN"/>
        </w:rPr>
        <w:t>办法</w:t>
      </w:r>
      <w:r>
        <w:rPr>
          <w:rFonts w:hint="eastAsia" w:ascii="仿宋_GB2312" w:hAnsi="仿宋_GB2312" w:eastAsia="仿宋_GB2312" w:cs="仿宋_GB2312"/>
          <w:sz w:val="32"/>
          <w:szCs w:val="32"/>
        </w:rPr>
        <w:t>实施情况，结合市级政策</w:t>
      </w:r>
      <w:r>
        <w:rPr>
          <w:rFonts w:hint="eastAsia" w:ascii="仿宋_GB2312" w:hAnsi="仿宋_GB2312" w:cs="仿宋_GB2312"/>
          <w:sz w:val="32"/>
          <w:szCs w:val="32"/>
          <w:lang w:eastAsia="zh-CN"/>
        </w:rPr>
        <w:t>、各方</w:t>
      </w:r>
      <w:r>
        <w:rPr>
          <w:rFonts w:hint="eastAsia" w:ascii="仿宋_GB2312" w:hAnsi="仿宋_GB2312" w:eastAsia="仿宋_GB2312" w:cs="仿宋_GB2312"/>
          <w:sz w:val="32"/>
          <w:szCs w:val="32"/>
        </w:rPr>
        <w:t>需求</w:t>
      </w:r>
      <w:r>
        <w:rPr>
          <w:rFonts w:hint="eastAsia" w:ascii="仿宋_GB2312" w:hAnsi="仿宋_GB2312" w:cs="仿宋_GB2312"/>
          <w:sz w:val="32"/>
          <w:szCs w:val="32"/>
          <w:lang w:eastAsia="zh-CN"/>
        </w:rPr>
        <w:t>和上一轮政策绩效评价情况</w:t>
      </w:r>
      <w:r>
        <w:rPr>
          <w:rFonts w:hint="eastAsia" w:ascii="仿宋_GB2312" w:hAnsi="仿宋_GB2312" w:eastAsia="仿宋_GB2312" w:cs="仿宋_GB2312"/>
          <w:sz w:val="32"/>
          <w:szCs w:val="32"/>
        </w:rPr>
        <w:t>明确</w:t>
      </w:r>
      <w:r>
        <w:rPr>
          <w:rFonts w:hint="eastAsia" w:ascii="仿宋_GB2312" w:hAnsi="仿宋_GB2312" w:cs="仿宋_GB2312"/>
          <w:sz w:val="32"/>
          <w:szCs w:val="32"/>
          <w:lang w:eastAsia="zh-CN"/>
        </w:rPr>
        <w:t>新政</w:t>
      </w:r>
      <w:r>
        <w:rPr>
          <w:rFonts w:hint="eastAsia" w:ascii="仿宋_GB2312" w:hAnsi="仿宋_GB2312" w:eastAsia="仿宋_GB2312" w:cs="仿宋_GB2312"/>
          <w:sz w:val="32"/>
          <w:szCs w:val="32"/>
        </w:rPr>
        <w:t>修订方向。随后拟定</w:t>
      </w:r>
      <w:r>
        <w:rPr>
          <w:rFonts w:hint="eastAsia" w:ascii="仿宋_GB2312" w:hAnsi="仿宋_GB2312" w:cs="仿宋_GB2312"/>
          <w:sz w:val="32"/>
          <w:szCs w:val="32"/>
          <w:lang w:eastAsia="zh-CN"/>
        </w:rPr>
        <w:t>办法</w:t>
      </w:r>
      <w:r>
        <w:rPr>
          <w:rFonts w:hint="eastAsia" w:ascii="仿宋_GB2312" w:hAnsi="仿宋_GB2312" w:eastAsia="仿宋_GB2312" w:cs="仿宋_GB2312"/>
          <w:sz w:val="32"/>
          <w:szCs w:val="32"/>
        </w:rPr>
        <w:t>框架，围绕</w:t>
      </w:r>
      <w:r>
        <w:rPr>
          <w:rFonts w:hint="eastAsia" w:ascii="仿宋_GB2312" w:hAnsi="仿宋_GB2312" w:cs="仿宋_GB2312"/>
          <w:sz w:val="32"/>
          <w:szCs w:val="32"/>
          <w:lang w:eastAsia="zh-CN"/>
        </w:rPr>
        <w:t>区级创新险种</w:t>
      </w:r>
      <w:r>
        <w:rPr>
          <w:rFonts w:hint="eastAsia" w:ascii="仿宋_GB2312" w:hAnsi="仿宋_GB2312" w:eastAsia="仿宋_GB2312" w:cs="仿宋_GB2312"/>
          <w:sz w:val="32"/>
          <w:szCs w:val="32"/>
        </w:rPr>
        <w:t>等核心要点进行专题研讨，形成初稿后向</w:t>
      </w:r>
      <w:r>
        <w:rPr>
          <w:rFonts w:hint="eastAsia" w:ascii="仿宋_GB2312" w:hAnsi="仿宋_GB2312" w:cs="仿宋_GB2312"/>
          <w:sz w:val="32"/>
          <w:szCs w:val="32"/>
          <w:lang w:eastAsia="zh-CN"/>
        </w:rPr>
        <w:t>承保机构</w:t>
      </w:r>
      <w:r>
        <w:rPr>
          <w:rFonts w:hint="eastAsia" w:ascii="仿宋_GB2312" w:hAnsi="仿宋_GB2312" w:eastAsia="仿宋_GB2312" w:cs="仿宋_GB2312"/>
          <w:sz w:val="32"/>
          <w:szCs w:val="32"/>
        </w:rPr>
        <w:t>等相关部门征求意见，根据反馈优化调整内容，最终形成本草案。</w:t>
      </w:r>
    </w:p>
    <w:p>
      <w:pPr>
        <w:keepNext w:val="0"/>
        <w:keepLines w:val="0"/>
        <w:pageBreakBefore w:val="0"/>
        <w:widowControl w:val="0"/>
        <w:kinsoku/>
        <w:wordWrap/>
        <w:overflowPunct/>
        <w:topLinePunct w:val="0"/>
        <w:autoSpaceDE/>
        <w:autoSpaceDN/>
        <w:bidi w:val="0"/>
        <w:adjustRightInd/>
        <w:snapToGrid/>
        <w:spacing w:line="600" w:lineRule="exact"/>
        <w:ind w:right="0" w:rightChars="0"/>
        <w:textAlignment w:val="auto"/>
        <w:outlineLvl w:val="9"/>
        <w:rPr>
          <w:rFonts w:hint="eastAsia" w:ascii="Times New Roman" w:hAnsi="Times New Roman" w:eastAsia="仿宋_GB2312"/>
          <w:sz w:val="32"/>
          <w:szCs w:val="32"/>
          <w:lang w:eastAsia="zh-CN"/>
        </w:rPr>
      </w:pPr>
    </w:p>
    <w:p>
      <w:pPr>
        <w:keepNext w:val="0"/>
        <w:keepLines w:val="0"/>
        <w:pageBreakBefore w:val="0"/>
        <w:widowControl w:val="0"/>
        <w:kinsoku/>
        <w:wordWrap w:val="0"/>
        <w:overflowPunct/>
        <w:topLinePunct w:val="0"/>
        <w:autoSpaceDE/>
        <w:autoSpaceDN/>
        <w:bidi w:val="0"/>
        <w:adjustRightInd/>
        <w:snapToGrid/>
        <w:spacing w:line="600" w:lineRule="exact"/>
        <w:ind w:left="0" w:leftChars="0" w:right="0" w:rightChars="0"/>
        <w:jc w:val="right"/>
        <w:textAlignment w:val="auto"/>
        <w:outlineLvl w:val="9"/>
        <w:rPr>
          <w:rFonts w:hint="default" w:ascii="Times New Roman" w:hAnsi="Times New Roman" w:eastAsia="仿宋_GB2312"/>
          <w:sz w:val="32"/>
          <w:szCs w:val="32"/>
          <w:lang w:val="en-US" w:eastAsia="zh-CN"/>
        </w:rPr>
      </w:pPr>
      <w:r>
        <w:rPr>
          <w:rFonts w:hint="eastAsia" w:ascii="Times New Roman" w:hAnsi="Times New Roman" w:eastAsia="仿宋_GB2312"/>
          <w:sz w:val="32"/>
          <w:szCs w:val="32"/>
        </w:rPr>
        <w:t>嘉定区财政局</w:t>
      </w:r>
      <w:r>
        <w:rPr>
          <w:rFonts w:hint="eastAsia"/>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righ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highlight w:val="none"/>
          <w:shd w:val="clear" w:color="auto" w:fill="auto"/>
        </w:rPr>
        <w:t>202</w:t>
      </w:r>
      <w:r>
        <w:rPr>
          <w:rFonts w:hint="eastAsia" w:ascii="仿宋_GB2312" w:hAnsi="仿宋_GB2312" w:cs="仿宋_GB2312"/>
          <w:sz w:val="32"/>
          <w:szCs w:val="32"/>
          <w:highlight w:val="none"/>
          <w:shd w:val="clear" w:color="auto" w:fill="auto"/>
          <w:lang w:val="en-US" w:eastAsia="zh-CN"/>
        </w:rPr>
        <w:t>5</w:t>
      </w:r>
      <w:r>
        <w:rPr>
          <w:rFonts w:hint="eastAsia" w:ascii="仿宋_GB2312" w:hAnsi="仿宋_GB2312" w:eastAsia="仿宋_GB2312" w:cs="仿宋_GB2312"/>
          <w:sz w:val="32"/>
          <w:szCs w:val="32"/>
          <w:highlight w:val="none"/>
          <w:shd w:val="clear" w:color="auto" w:fill="auto"/>
        </w:rPr>
        <w:t>年</w:t>
      </w:r>
      <w:r>
        <w:rPr>
          <w:rFonts w:hint="eastAsia" w:ascii="仿宋_GB2312" w:hAnsi="仿宋_GB2312" w:cs="仿宋_GB2312"/>
          <w:sz w:val="32"/>
          <w:szCs w:val="32"/>
          <w:highlight w:val="none"/>
          <w:shd w:val="clear" w:color="auto" w:fill="auto"/>
          <w:lang w:val="en-US" w:eastAsia="zh-CN"/>
        </w:rPr>
        <w:t>10</w:t>
      </w:r>
      <w:r>
        <w:rPr>
          <w:rFonts w:hint="eastAsia" w:ascii="仿宋_GB2312" w:hAnsi="仿宋_GB2312" w:eastAsia="仿宋_GB2312" w:cs="仿宋_GB2312"/>
          <w:sz w:val="32"/>
          <w:szCs w:val="32"/>
          <w:highlight w:val="none"/>
          <w:shd w:val="clear" w:color="auto" w:fill="auto"/>
        </w:rPr>
        <w:t>月</w:t>
      </w:r>
      <w:r>
        <w:rPr>
          <w:rFonts w:hint="eastAsia" w:ascii="仿宋_GB2312" w:hAnsi="仿宋_GB2312" w:cs="仿宋_GB2312"/>
          <w:sz w:val="32"/>
          <w:szCs w:val="32"/>
          <w:highlight w:val="none"/>
          <w:shd w:val="clear" w:color="auto" w:fill="auto"/>
          <w:lang w:val="en-US" w:eastAsia="zh-CN"/>
        </w:rPr>
        <w:t>9</w:t>
      </w:r>
      <w:bookmarkStart w:id="0" w:name="_GoBack"/>
      <w:bookmarkEnd w:id="0"/>
      <w:r>
        <w:rPr>
          <w:rFonts w:hint="eastAsia" w:ascii="仿宋_GB2312" w:hAnsi="仿宋_GB2312" w:cs="仿宋_GB2312"/>
          <w:sz w:val="32"/>
          <w:szCs w:val="32"/>
          <w:highlight w:val="none"/>
          <w:shd w:val="clear" w:color="auto" w:fill="auto"/>
          <w:lang w:val="en-US" w:eastAsia="zh-CN"/>
        </w:rPr>
        <w:t>日</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sz w:val="24"/>
                              <w:szCs w:val="40"/>
                            </w:rPr>
                          </w:pPr>
                          <w:r>
                            <w:rPr>
                              <w:sz w:val="24"/>
                              <w:szCs w:val="40"/>
                            </w:rPr>
                            <w:fldChar w:fldCharType="begin"/>
                          </w:r>
                          <w:r>
                            <w:rPr>
                              <w:sz w:val="24"/>
                              <w:szCs w:val="40"/>
                            </w:rPr>
                            <w:instrText xml:space="preserve"> PAGE  \* MERGEFORMAT </w:instrText>
                          </w:r>
                          <w:r>
                            <w:rPr>
                              <w:sz w:val="24"/>
                              <w:szCs w:val="40"/>
                            </w:rPr>
                            <w:fldChar w:fldCharType="separate"/>
                          </w:r>
                          <w:r>
                            <w:rPr>
                              <w:sz w:val="24"/>
                              <w:szCs w:val="40"/>
                            </w:rPr>
                            <w:t>1</w:t>
                          </w:r>
                          <w:r>
                            <w:rPr>
                              <w:sz w:val="24"/>
                              <w:szCs w:val="40"/>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rPr>
                        <w:sz w:val="24"/>
                        <w:szCs w:val="40"/>
                      </w:rPr>
                    </w:pPr>
                    <w:r>
                      <w:rPr>
                        <w:sz w:val="24"/>
                        <w:szCs w:val="40"/>
                      </w:rPr>
                      <w:fldChar w:fldCharType="begin"/>
                    </w:r>
                    <w:r>
                      <w:rPr>
                        <w:sz w:val="24"/>
                        <w:szCs w:val="40"/>
                      </w:rPr>
                      <w:instrText xml:space="preserve"> PAGE  \* MERGEFORMAT </w:instrText>
                    </w:r>
                    <w:r>
                      <w:rPr>
                        <w:sz w:val="24"/>
                        <w:szCs w:val="40"/>
                      </w:rPr>
                      <w:fldChar w:fldCharType="separate"/>
                    </w:r>
                    <w:r>
                      <w:rPr>
                        <w:sz w:val="24"/>
                        <w:szCs w:val="40"/>
                      </w:rPr>
                      <w:t>1</w:t>
                    </w:r>
                    <w:r>
                      <w:rPr>
                        <w:sz w:val="24"/>
                        <w:szCs w:val="40"/>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UzMjdjODc0OTQ0NzIyODM1ZTk0MzEwMWM1NDExYmEifQ=="/>
  </w:docVars>
  <w:rsids>
    <w:rsidRoot w:val="56F16A8C"/>
    <w:rsid w:val="05B437EC"/>
    <w:rsid w:val="0C777461"/>
    <w:rsid w:val="160B520F"/>
    <w:rsid w:val="25451CE3"/>
    <w:rsid w:val="33DD5E93"/>
    <w:rsid w:val="35066A3B"/>
    <w:rsid w:val="523E75AA"/>
    <w:rsid w:val="56F16A8C"/>
    <w:rsid w:val="59D47CE0"/>
    <w:rsid w:val="613A51F3"/>
    <w:rsid w:val="61FD3E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0"/>
      <w:szCs w:val="24"/>
      <w:lang w:val="en-US" w:eastAsia="zh-CN" w:bidi="ar-SA"/>
    </w:rPr>
  </w:style>
  <w:style w:type="character" w:default="1" w:styleId="4">
    <w:name w:val="Default Paragraph Font"/>
    <w:semiHidden/>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2025-07-22T00:41:00Z</dcterms:created>
  <dc:creator>wangmengna</dc:creator>
  <cp:lastModifiedBy>wuyuedi</cp:lastModifiedBy>
  <dcterms:modified xsi:type="dcterms:W3CDTF">2025-11-03T08:12:53Z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y fmtid="{D5CDD505-2E9C-101B-9397-08002B2CF9AE}" pid="3" name="ICV">
    <vt:lpwstr>E2D61875A3D64FCCB1F94B92C75D0980_11</vt:lpwstr>
  </property>
</Properties>
</file>