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附件1             区级部门预案修订回执</w:t>
      </w: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1907"/>
        <w:gridCol w:w="1060"/>
        <w:gridCol w:w="106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预案名称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修订单位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负责人姓名电话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嘉定区地震专项应急预案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区应急管理局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嘉定区处置森林火灾应急预案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区应急管理局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嘉定区群体性事件专项应急预案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区维稳办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嘉定区防汛防台专项应急预案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区防汛办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嘉定区处置旅游突发事件专项应急预案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区文化旅游局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嘉定区突发公共事件新闻及公众信息发布应急预案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区委新闻办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嘉定区处置通信事故应急预案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区科委</w:t>
            </w:r>
            <w:bookmarkStart w:id="0" w:name="_GoBack"/>
            <w:bookmarkEnd w:id="0"/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嘉定区处置民族宗教群体性事件应急预案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区民宗办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嘉定区供水突发事件应急预案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区水务局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嘉定区排水突发事件应急预案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区水务局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嘉定区处置人群密集公共场所事故应急预案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公安嘉定分局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嘉定区处置火灾事故应急预案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区消防救援支队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39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嘉定区处置危险化学品和民用爆炸物品运输突发事件应急预案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公安嘉定分局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C4067"/>
    <w:rsid w:val="48E2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2020-07-14T08:07:00Z</dcterms:created>
  <dc:creator>lenovo02</dc:creator>
  <cp:lastModifiedBy>宠物带着我私奔</cp:lastModifiedBy>
  <dcterms:modified xsi:type="dcterms:W3CDTF">2020-07-20T07:15:03Z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